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4CE" w:rsidRPr="004364CE" w:rsidRDefault="004364CE" w:rsidP="004364CE">
      <w:pPr>
        <w:shd w:val="clear" w:color="auto" w:fill="FFFFFF"/>
        <w:tabs>
          <w:tab w:val="left" w:pos="7380"/>
        </w:tabs>
        <w:spacing w:before="161" w:after="161" w:line="288" w:lineRule="atLeast"/>
        <w:jc w:val="center"/>
        <w:outlineLvl w:val="0"/>
        <w:rPr>
          <w:rFonts w:ascii="Calibri" w:eastAsia="Calibri" w:hAnsi="Calibri" w:cs="Times New Roman"/>
          <w:b/>
          <w:lang w:eastAsia="en-US"/>
        </w:rPr>
      </w:pPr>
      <w:r w:rsidRPr="004364CE">
        <w:rPr>
          <w:rFonts w:ascii="Calibri" w:eastAsia="Calibri" w:hAnsi="Calibri" w:cs="Times New Roman"/>
          <w:noProof/>
          <w:sz w:val="22"/>
          <w:szCs w:val="22"/>
          <w:lang w:eastAsia="it-IT"/>
        </w:rPr>
        <w:drawing>
          <wp:inline distT="0" distB="0" distL="0" distR="0">
            <wp:extent cx="899160" cy="694700"/>
            <wp:effectExtent l="0" t="0" r="0" b="0"/>
            <wp:docPr id="3" name="Immagine 3" descr="D:\Sito Il Diritto di Apprendere\Loghi Sito\usmi na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ito Il Diritto di Apprendere\Loghi Sito\usmi nazionale.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0060" r="13598"/>
                    <a:stretch/>
                  </pic:blipFill>
                  <pic:spPr bwMode="auto">
                    <a:xfrm>
                      <a:off x="0" y="0"/>
                      <a:ext cx="905849" cy="69986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r w:rsidRPr="004364CE">
        <w:rPr>
          <w:rFonts w:ascii="Calibri" w:eastAsia="Calibri" w:hAnsi="Calibri" w:cs="Times New Roman"/>
          <w:noProof/>
          <w:sz w:val="22"/>
          <w:szCs w:val="22"/>
          <w:lang w:eastAsia="it-IT"/>
        </w:rPr>
        <w:drawing>
          <wp:inline distT="0" distB="0" distL="0" distR="0">
            <wp:extent cx="967740" cy="688024"/>
            <wp:effectExtent l="0" t="0" r="381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9321" r="10513"/>
                    <a:stretch/>
                  </pic:blipFill>
                  <pic:spPr bwMode="auto">
                    <a:xfrm>
                      <a:off x="0" y="0"/>
                      <a:ext cx="1002964" cy="71306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4364CE" w:rsidRPr="004364CE" w:rsidRDefault="004364CE" w:rsidP="004364CE">
      <w:pPr>
        <w:shd w:val="clear" w:color="auto" w:fill="FFFFFF"/>
        <w:tabs>
          <w:tab w:val="left" w:pos="7380"/>
        </w:tabs>
        <w:spacing w:before="161" w:after="161" w:line="288" w:lineRule="atLeast"/>
        <w:jc w:val="center"/>
        <w:outlineLvl w:val="0"/>
        <w:rPr>
          <w:rFonts w:ascii="Calibri" w:eastAsia="Calibri" w:hAnsi="Calibri" w:cs="Times New Roman"/>
          <w:b/>
          <w:i/>
          <w:lang w:eastAsia="en-US"/>
        </w:rPr>
      </w:pPr>
      <w:r w:rsidRPr="004364CE">
        <w:rPr>
          <w:rFonts w:ascii="Calibri" w:eastAsia="Calibri" w:hAnsi="Calibri" w:cs="Times New Roman"/>
          <w:b/>
          <w:i/>
          <w:lang w:eastAsia="en-US"/>
        </w:rPr>
        <w:t>Con il Patrocinio</w:t>
      </w:r>
    </w:p>
    <w:p w:rsidR="004364CE" w:rsidRPr="004364CE" w:rsidRDefault="004364CE" w:rsidP="004364CE">
      <w:pPr>
        <w:shd w:val="clear" w:color="auto" w:fill="FFFFFF"/>
        <w:tabs>
          <w:tab w:val="left" w:pos="7380"/>
        </w:tabs>
        <w:spacing w:before="161" w:after="161" w:line="288" w:lineRule="atLeast"/>
        <w:jc w:val="center"/>
        <w:outlineLvl w:val="0"/>
        <w:rPr>
          <w:rFonts w:ascii="Calibri" w:eastAsia="Calibri" w:hAnsi="Calibri" w:cs="Times New Roman"/>
          <w:b/>
          <w:smallCaps/>
          <w:color w:val="FF0000"/>
          <w:sz w:val="40"/>
          <w:lang w:eastAsia="en-US"/>
        </w:rPr>
      </w:pPr>
      <w:r w:rsidRPr="004364CE">
        <w:rPr>
          <w:rFonts w:ascii="Calibri" w:eastAsia="Calibri" w:hAnsi="Calibri" w:cs="Times New Roman"/>
          <w:b/>
          <w:noProof/>
          <w:lang w:eastAsia="it-IT"/>
        </w:rPr>
        <w:drawing>
          <wp:inline distT="0" distB="0" distL="0" distR="0">
            <wp:extent cx="1291602" cy="708660"/>
            <wp:effectExtent l="0" t="0" r="3810" b="0"/>
            <wp:docPr id="5" name="Immagine 5" descr="D:\Convegno Autonomia, parità e libertà (14-11-2019)\logo-sen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nvegno Autonomia, parità e libertà (14-11-2019)\logo-senato.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6508" cy="716839"/>
                    </a:xfrm>
                    <a:prstGeom prst="rect">
                      <a:avLst/>
                    </a:prstGeom>
                    <a:noFill/>
                    <a:ln>
                      <a:noFill/>
                    </a:ln>
                  </pic:spPr>
                </pic:pic>
              </a:graphicData>
            </a:graphic>
          </wp:inline>
        </w:drawing>
      </w:r>
      <w:r w:rsidRPr="004364CE">
        <w:rPr>
          <w:rFonts w:ascii="Calibri" w:eastAsia="Calibri" w:hAnsi="Calibri" w:cs="Times New Roman"/>
          <w:b/>
          <w:noProof/>
          <w:lang w:eastAsia="it-IT"/>
        </w:rPr>
        <w:drawing>
          <wp:inline distT="0" distB="0" distL="0" distR="0">
            <wp:extent cx="1554480" cy="643287"/>
            <wp:effectExtent l="0" t="0" r="0" b="0"/>
            <wp:docPr id="4" name="Immagine 4" descr="D:\Convegno Autonomia, parità e libertà (14-11-2019)\Ufficio Nazionale per l’Educazione, la Scuola e l’Università - Orizzontale 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vegno Autonomia, parità e libertà (14-11-2019)\Ufficio Nazionale per l’Educazione, la Scuola e l’Università - Orizzontale Positivo.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16" cy="651702"/>
                    </a:xfrm>
                    <a:prstGeom prst="rect">
                      <a:avLst/>
                    </a:prstGeom>
                    <a:noFill/>
                    <a:ln>
                      <a:noFill/>
                    </a:ln>
                  </pic:spPr>
                </pic:pic>
              </a:graphicData>
            </a:graphic>
          </wp:inline>
        </w:drawing>
      </w:r>
    </w:p>
    <w:p w:rsidR="00ED3E40" w:rsidRPr="00C35FD6" w:rsidRDefault="00ED3E40" w:rsidP="00ED3E40">
      <w:pPr>
        <w:spacing w:before="161" w:after="161" w:line="288" w:lineRule="atLeast"/>
        <w:jc w:val="center"/>
        <w:outlineLvl w:val="0"/>
        <w:rPr>
          <w:rFonts w:asciiTheme="majorHAnsi" w:eastAsia="Times New Roman" w:hAnsiTheme="majorHAnsi" w:cstheme="majorHAnsi"/>
          <w:b/>
          <w:bCs/>
          <w:color w:val="666667"/>
          <w:sz w:val="28"/>
          <w:szCs w:val="28"/>
          <w:shd w:val="clear" w:color="auto" w:fill="FFFFFF"/>
          <w:lang w:eastAsia="it-IT"/>
        </w:rPr>
      </w:pPr>
      <w:r w:rsidRPr="00C35FD6">
        <w:rPr>
          <w:rFonts w:asciiTheme="majorHAnsi" w:eastAsia="Times New Roman" w:hAnsiTheme="majorHAnsi" w:cstheme="majorHAnsi"/>
          <w:b/>
          <w:bCs/>
          <w:color w:val="666667"/>
          <w:sz w:val="28"/>
          <w:szCs w:val="28"/>
          <w:shd w:val="clear" w:color="auto" w:fill="FFFFFF"/>
          <w:lang w:eastAsia="it-IT"/>
        </w:rPr>
        <w:t xml:space="preserve">Dichiarazioni per la Stampa a cura di CISM e USMI promotori evento </w:t>
      </w:r>
    </w:p>
    <w:p w:rsidR="007A2DD1" w:rsidRPr="00C35FD6" w:rsidRDefault="007A2DD1" w:rsidP="007A2DD1">
      <w:pPr>
        <w:shd w:val="clear" w:color="auto" w:fill="FFFFFF"/>
        <w:tabs>
          <w:tab w:val="left" w:pos="7380"/>
        </w:tabs>
        <w:spacing w:before="161" w:after="161" w:line="288" w:lineRule="atLeast"/>
        <w:jc w:val="center"/>
        <w:outlineLvl w:val="0"/>
        <w:rPr>
          <w:rFonts w:asciiTheme="majorHAnsi" w:hAnsiTheme="majorHAnsi" w:cstheme="majorHAnsi"/>
          <w:b/>
          <w:iCs/>
          <w:sz w:val="28"/>
          <w:szCs w:val="28"/>
        </w:rPr>
      </w:pPr>
      <w:r w:rsidRPr="00C35FD6">
        <w:rPr>
          <w:rFonts w:asciiTheme="majorHAnsi" w:hAnsiTheme="majorHAnsi" w:cstheme="majorHAnsi"/>
          <w:b/>
          <w:iCs/>
          <w:sz w:val="28"/>
          <w:szCs w:val="28"/>
        </w:rPr>
        <w:t>Seminario di sintesi</w:t>
      </w:r>
    </w:p>
    <w:p w:rsidR="007A2DD1" w:rsidRPr="00C35FD6" w:rsidRDefault="007A2DD1" w:rsidP="007A2DD1">
      <w:pPr>
        <w:shd w:val="clear" w:color="auto" w:fill="FFFFFF"/>
        <w:tabs>
          <w:tab w:val="left" w:pos="7380"/>
        </w:tabs>
        <w:spacing w:before="161" w:after="161" w:line="288" w:lineRule="atLeast"/>
        <w:jc w:val="center"/>
        <w:outlineLvl w:val="0"/>
        <w:rPr>
          <w:rFonts w:asciiTheme="majorHAnsi" w:hAnsiTheme="majorHAnsi" w:cstheme="majorHAnsi"/>
          <w:b/>
          <w:iCs/>
          <w:sz w:val="28"/>
          <w:szCs w:val="28"/>
        </w:rPr>
      </w:pPr>
      <w:r w:rsidRPr="00C35FD6">
        <w:rPr>
          <w:rFonts w:asciiTheme="majorHAnsi" w:hAnsiTheme="majorHAnsi" w:cstheme="majorHAnsi"/>
          <w:b/>
          <w:iCs/>
          <w:sz w:val="28"/>
          <w:szCs w:val="28"/>
        </w:rPr>
        <w:t xml:space="preserve">Giovedì 14 </w:t>
      </w:r>
      <w:r w:rsidR="000F0450" w:rsidRPr="00C35FD6">
        <w:rPr>
          <w:rFonts w:asciiTheme="majorHAnsi" w:hAnsiTheme="majorHAnsi" w:cstheme="majorHAnsi"/>
          <w:b/>
          <w:iCs/>
          <w:sz w:val="28"/>
          <w:szCs w:val="28"/>
        </w:rPr>
        <w:t>novembre</w:t>
      </w:r>
      <w:r w:rsidRPr="00C35FD6">
        <w:rPr>
          <w:rFonts w:asciiTheme="majorHAnsi" w:hAnsiTheme="majorHAnsi" w:cstheme="majorHAnsi"/>
          <w:b/>
          <w:iCs/>
          <w:sz w:val="28"/>
          <w:szCs w:val="28"/>
        </w:rPr>
        <w:t xml:space="preserve"> 2019, presso Sala Convegni </w:t>
      </w:r>
      <w:r w:rsidR="00C35FD6">
        <w:rPr>
          <w:rFonts w:asciiTheme="majorHAnsi" w:hAnsiTheme="majorHAnsi" w:cstheme="majorHAnsi"/>
          <w:b/>
          <w:iCs/>
          <w:sz w:val="28"/>
          <w:szCs w:val="28"/>
        </w:rPr>
        <w:t xml:space="preserve">USMI-CISM, Via Zanardelli, 32 </w:t>
      </w:r>
      <w:r w:rsidRPr="00C35FD6">
        <w:rPr>
          <w:rFonts w:asciiTheme="majorHAnsi" w:hAnsiTheme="majorHAnsi" w:cstheme="majorHAnsi"/>
          <w:b/>
          <w:iCs/>
          <w:sz w:val="28"/>
          <w:szCs w:val="28"/>
        </w:rPr>
        <w:t>Roma, dalle ore 15 alle ore 18, si terrà il Seminario di sintesi</w:t>
      </w:r>
    </w:p>
    <w:p w:rsidR="007A2DD1" w:rsidRPr="00C35FD6" w:rsidRDefault="007A2DD1" w:rsidP="007A2DD1">
      <w:pPr>
        <w:shd w:val="clear" w:color="auto" w:fill="FFFFFF"/>
        <w:tabs>
          <w:tab w:val="left" w:pos="7380"/>
        </w:tabs>
        <w:spacing w:before="161" w:after="161" w:line="288" w:lineRule="atLeast"/>
        <w:jc w:val="center"/>
        <w:outlineLvl w:val="0"/>
        <w:rPr>
          <w:rFonts w:asciiTheme="majorHAnsi" w:hAnsiTheme="majorHAnsi" w:cstheme="majorHAnsi"/>
          <w:b/>
          <w:iCs/>
          <w:smallCaps/>
          <w:sz w:val="28"/>
          <w:szCs w:val="28"/>
        </w:rPr>
      </w:pPr>
      <w:r w:rsidRPr="00C35FD6">
        <w:rPr>
          <w:rFonts w:asciiTheme="majorHAnsi" w:hAnsiTheme="majorHAnsi" w:cstheme="majorHAnsi"/>
          <w:b/>
          <w:i/>
          <w:smallCaps/>
          <w:sz w:val="28"/>
          <w:szCs w:val="28"/>
        </w:rPr>
        <w:t>Autonomia, parità e libertà di scelta educativa in Italia e in Europa</w:t>
      </w:r>
    </w:p>
    <w:p w:rsidR="00C95DDD" w:rsidRPr="00C35FD6" w:rsidRDefault="00C35FD6" w:rsidP="00583014">
      <w:pPr>
        <w:spacing w:before="161" w:after="161" w:line="288" w:lineRule="atLeast"/>
        <w:jc w:val="both"/>
        <w:outlineLvl w:val="0"/>
        <w:rPr>
          <w:rFonts w:asciiTheme="majorHAnsi" w:hAnsiTheme="majorHAnsi" w:cstheme="majorHAnsi"/>
          <w:kern w:val="36"/>
        </w:rPr>
      </w:pPr>
      <w:r>
        <w:rPr>
          <w:rFonts w:asciiTheme="majorHAnsi" w:hAnsiTheme="majorHAnsi" w:cstheme="majorHAnsi"/>
          <w:kern w:val="36"/>
        </w:rPr>
        <w:br/>
      </w:r>
      <w:r w:rsidR="00C95DDD" w:rsidRPr="00C35FD6">
        <w:rPr>
          <w:rFonts w:asciiTheme="majorHAnsi" w:hAnsiTheme="majorHAnsi" w:cstheme="majorHAnsi"/>
          <w:kern w:val="36"/>
        </w:rPr>
        <w:t>Nel giugno 2017 il Consiglio Nazionale della Scuola Cattolica</w:t>
      </w:r>
      <w:r w:rsidR="002751D3" w:rsidRPr="00C35FD6">
        <w:rPr>
          <w:rFonts w:asciiTheme="majorHAnsi" w:hAnsiTheme="majorHAnsi" w:cstheme="majorHAnsi"/>
          <w:kern w:val="36"/>
        </w:rPr>
        <w:t xml:space="preserve"> </w:t>
      </w:r>
      <w:r w:rsidR="005E57BE" w:rsidRPr="00C35FD6">
        <w:rPr>
          <w:rFonts w:asciiTheme="majorHAnsi" w:hAnsiTheme="majorHAnsi" w:cstheme="majorHAnsi"/>
          <w:kern w:val="36"/>
        </w:rPr>
        <w:t xml:space="preserve">presso </w:t>
      </w:r>
      <w:r w:rsidR="00B65905" w:rsidRPr="00C35FD6">
        <w:rPr>
          <w:rFonts w:asciiTheme="majorHAnsi" w:hAnsiTheme="majorHAnsi" w:cstheme="majorHAnsi"/>
          <w:kern w:val="36"/>
        </w:rPr>
        <w:t>la Cei</w:t>
      </w:r>
      <w:r w:rsidR="00D80AAC" w:rsidRPr="00C35FD6">
        <w:rPr>
          <w:rFonts w:asciiTheme="majorHAnsi" w:hAnsiTheme="majorHAnsi" w:cstheme="majorHAnsi"/>
          <w:kern w:val="36"/>
        </w:rPr>
        <w:t xml:space="preserve"> (CNSC)</w:t>
      </w:r>
      <w:r w:rsidR="00C95DDD" w:rsidRPr="00C35FD6">
        <w:rPr>
          <w:rFonts w:asciiTheme="majorHAnsi" w:hAnsiTheme="majorHAnsi" w:cstheme="majorHAnsi"/>
          <w:kern w:val="36"/>
        </w:rPr>
        <w:t xml:space="preserve"> pubblicava il documento </w:t>
      </w:r>
      <w:r w:rsidR="00C95DDD" w:rsidRPr="00C35FD6">
        <w:rPr>
          <w:rFonts w:asciiTheme="majorHAnsi" w:hAnsiTheme="majorHAnsi" w:cstheme="majorHAnsi"/>
          <w:b/>
          <w:kern w:val="36"/>
        </w:rPr>
        <w:t>Autonomia, parità scolastica e libertà di scelta educativa</w:t>
      </w:r>
      <w:r w:rsidR="00C95DDD" w:rsidRPr="00C35FD6">
        <w:rPr>
          <w:rFonts w:asciiTheme="majorHAnsi" w:hAnsiTheme="majorHAnsi" w:cstheme="majorHAnsi"/>
          <w:kern w:val="36"/>
        </w:rPr>
        <w:t>, sottolineando che le scuole paritarie e la formazione professionale sono una presenza da garantire nel nostro Paese, nel segno della sussidiarietà</w:t>
      </w:r>
      <w:r w:rsidR="00EA3C7B" w:rsidRPr="00C35FD6">
        <w:rPr>
          <w:rFonts w:asciiTheme="majorHAnsi" w:hAnsiTheme="majorHAnsi" w:cstheme="majorHAnsi"/>
          <w:kern w:val="36"/>
        </w:rPr>
        <w:t xml:space="preserve"> e del pluralismo </w:t>
      </w:r>
      <w:r w:rsidR="00E07469" w:rsidRPr="00C35FD6">
        <w:rPr>
          <w:rFonts w:asciiTheme="majorHAnsi" w:hAnsiTheme="majorHAnsi" w:cstheme="majorHAnsi"/>
          <w:kern w:val="36"/>
        </w:rPr>
        <w:t>educativo</w:t>
      </w:r>
      <w:r w:rsidR="00C95DDD" w:rsidRPr="00C35FD6">
        <w:rPr>
          <w:rFonts w:asciiTheme="majorHAnsi" w:hAnsiTheme="majorHAnsi" w:cstheme="majorHAnsi"/>
          <w:kern w:val="36"/>
        </w:rPr>
        <w:t xml:space="preserve">. </w:t>
      </w:r>
      <w:r w:rsidR="002751D3" w:rsidRPr="00C35FD6">
        <w:rPr>
          <w:rFonts w:asciiTheme="majorHAnsi" w:hAnsiTheme="majorHAnsi" w:cstheme="majorHAnsi"/>
          <w:kern w:val="36"/>
        </w:rPr>
        <w:t>Infatti,</w:t>
      </w:r>
      <w:r w:rsidR="00AF1BD8" w:rsidRPr="00C35FD6">
        <w:rPr>
          <w:rFonts w:asciiTheme="majorHAnsi" w:hAnsiTheme="majorHAnsi" w:cstheme="majorHAnsi"/>
          <w:kern w:val="36"/>
        </w:rPr>
        <w:t xml:space="preserve"> nonostante la Legge 62/2000 </w:t>
      </w:r>
      <w:r w:rsidR="002751D3" w:rsidRPr="00C35FD6">
        <w:rPr>
          <w:rFonts w:asciiTheme="majorHAnsi" w:hAnsiTheme="majorHAnsi" w:cstheme="majorHAnsi"/>
          <w:kern w:val="36"/>
        </w:rPr>
        <w:t xml:space="preserve">le </w:t>
      </w:r>
      <w:r w:rsidR="00AF1BD8" w:rsidRPr="00C35FD6">
        <w:rPr>
          <w:rFonts w:asciiTheme="majorHAnsi" w:hAnsiTheme="majorHAnsi" w:cstheme="majorHAnsi"/>
          <w:kern w:val="36"/>
        </w:rPr>
        <w:t>abbia inserit</w:t>
      </w:r>
      <w:r w:rsidR="002751D3" w:rsidRPr="00C35FD6">
        <w:rPr>
          <w:rFonts w:asciiTheme="majorHAnsi" w:hAnsiTheme="majorHAnsi" w:cstheme="majorHAnsi"/>
          <w:kern w:val="36"/>
        </w:rPr>
        <w:t>e</w:t>
      </w:r>
      <w:r w:rsidR="00AF1BD8" w:rsidRPr="00C35FD6">
        <w:rPr>
          <w:rFonts w:asciiTheme="majorHAnsi" w:hAnsiTheme="majorHAnsi" w:cstheme="majorHAnsi"/>
          <w:kern w:val="36"/>
        </w:rPr>
        <w:t xml:space="preserve"> nel </w:t>
      </w:r>
      <w:r w:rsidR="00EA3C7B" w:rsidRPr="00C35FD6">
        <w:rPr>
          <w:rFonts w:asciiTheme="majorHAnsi" w:hAnsiTheme="majorHAnsi" w:cstheme="majorHAnsi"/>
          <w:kern w:val="36"/>
        </w:rPr>
        <w:t>Sistema Nazionale d</w:t>
      </w:r>
      <w:r w:rsidR="00E07469" w:rsidRPr="00C35FD6">
        <w:rPr>
          <w:rFonts w:asciiTheme="majorHAnsi" w:hAnsiTheme="majorHAnsi" w:cstheme="majorHAnsi"/>
          <w:kern w:val="36"/>
        </w:rPr>
        <w:t xml:space="preserve">i </w:t>
      </w:r>
      <w:r w:rsidR="00EA3C7B" w:rsidRPr="00C35FD6">
        <w:rPr>
          <w:rFonts w:asciiTheme="majorHAnsi" w:hAnsiTheme="majorHAnsi" w:cstheme="majorHAnsi"/>
          <w:kern w:val="36"/>
        </w:rPr>
        <w:t>Istruzione</w:t>
      </w:r>
      <w:r w:rsidR="00AF1BD8" w:rsidRPr="00C35FD6">
        <w:rPr>
          <w:rFonts w:asciiTheme="majorHAnsi" w:hAnsiTheme="majorHAnsi" w:cstheme="majorHAnsi"/>
          <w:kern w:val="36"/>
        </w:rPr>
        <w:t xml:space="preserve"> a tutti gli effetti, </w:t>
      </w:r>
      <w:r w:rsidR="002751D3" w:rsidRPr="00C35FD6">
        <w:rPr>
          <w:rFonts w:asciiTheme="majorHAnsi" w:hAnsiTheme="majorHAnsi" w:cstheme="majorHAnsi"/>
          <w:kern w:val="36"/>
        </w:rPr>
        <w:t>le scuole</w:t>
      </w:r>
      <w:r w:rsidR="00EA3C7B" w:rsidRPr="00C35FD6">
        <w:rPr>
          <w:rFonts w:asciiTheme="majorHAnsi" w:hAnsiTheme="majorHAnsi" w:cstheme="majorHAnsi"/>
          <w:kern w:val="36"/>
        </w:rPr>
        <w:t xml:space="preserve"> pubbliche</w:t>
      </w:r>
      <w:r w:rsidR="002751D3" w:rsidRPr="00C35FD6">
        <w:rPr>
          <w:rFonts w:asciiTheme="majorHAnsi" w:hAnsiTheme="majorHAnsi" w:cstheme="majorHAnsi"/>
          <w:kern w:val="36"/>
        </w:rPr>
        <w:t xml:space="preserve"> paritarie </w:t>
      </w:r>
      <w:r w:rsidR="00AF1BD8" w:rsidRPr="00C35FD6">
        <w:rPr>
          <w:rFonts w:asciiTheme="majorHAnsi" w:hAnsiTheme="majorHAnsi" w:cstheme="majorHAnsi"/>
          <w:kern w:val="36"/>
        </w:rPr>
        <w:t>vivono ancora un</w:t>
      </w:r>
      <w:r w:rsidR="005D2CF3" w:rsidRPr="00C35FD6">
        <w:rPr>
          <w:rFonts w:asciiTheme="majorHAnsi" w:hAnsiTheme="majorHAnsi" w:cstheme="majorHAnsi"/>
          <w:kern w:val="36"/>
        </w:rPr>
        <w:t>’</w:t>
      </w:r>
      <w:r w:rsidR="00AF1BD8" w:rsidRPr="00C35FD6">
        <w:rPr>
          <w:rFonts w:asciiTheme="majorHAnsi" w:hAnsiTheme="majorHAnsi" w:cstheme="majorHAnsi"/>
          <w:kern w:val="36"/>
        </w:rPr>
        <w:t>emarginazione</w:t>
      </w:r>
      <w:r w:rsidR="00F4374F" w:rsidRPr="00C35FD6">
        <w:rPr>
          <w:rFonts w:asciiTheme="majorHAnsi" w:hAnsiTheme="majorHAnsi" w:cstheme="majorHAnsi"/>
          <w:kern w:val="36"/>
        </w:rPr>
        <w:t xml:space="preserve"> che ne rende problematica la sopravvivenza, soprattutto per il fatto che la parità non si è completata</w:t>
      </w:r>
      <w:r w:rsidR="00EA3C7B" w:rsidRPr="00C35FD6">
        <w:rPr>
          <w:rFonts w:asciiTheme="majorHAnsi" w:hAnsiTheme="majorHAnsi" w:cstheme="majorHAnsi"/>
          <w:kern w:val="36"/>
        </w:rPr>
        <w:t xml:space="preserve">, dal punto di vista degli utenti, cioè delle Famiglie, </w:t>
      </w:r>
      <w:r w:rsidR="00E07469" w:rsidRPr="00C35FD6">
        <w:rPr>
          <w:rFonts w:asciiTheme="majorHAnsi" w:hAnsiTheme="majorHAnsi" w:cstheme="majorHAnsi"/>
          <w:kern w:val="36"/>
        </w:rPr>
        <w:t>per quanto concerne</w:t>
      </w:r>
      <w:r w:rsidR="00F4374F" w:rsidRPr="00C35FD6">
        <w:rPr>
          <w:rFonts w:asciiTheme="majorHAnsi" w:hAnsiTheme="majorHAnsi" w:cstheme="majorHAnsi"/>
          <w:kern w:val="36"/>
        </w:rPr>
        <w:t xml:space="preserve"> </w:t>
      </w:r>
      <w:r w:rsidR="00F46160" w:rsidRPr="00C35FD6">
        <w:rPr>
          <w:rFonts w:asciiTheme="majorHAnsi" w:hAnsiTheme="majorHAnsi" w:cstheme="majorHAnsi"/>
          <w:kern w:val="36"/>
        </w:rPr>
        <w:t>l</w:t>
      </w:r>
      <w:r w:rsidR="00F4374F" w:rsidRPr="00C35FD6">
        <w:rPr>
          <w:rFonts w:asciiTheme="majorHAnsi" w:hAnsiTheme="majorHAnsi" w:cstheme="majorHAnsi"/>
          <w:kern w:val="36"/>
        </w:rPr>
        <w:t xml:space="preserve">’aspetto economico. </w:t>
      </w:r>
    </w:p>
    <w:p w:rsidR="00C946C2" w:rsidRPr="00C35FD6" w:rsidRDefault="00B65905" w:rsidP="00D80AAC">
      <w:pPr>
        <w:shd w:val="clear" w:color="auto" w:fill="FFFFFF"/>
        <w:tabs>
          <w:tab w:val="left" w:pos="7380"/>
        </w:tabs>
        <w:spacing w:before="161" w:after="161" w:line="288" w:lineRule="atLeast"/>
        <w:jc w:val="both"/>
        <w:outlineLvl w:val="0"/>
        <w:rPr>
          <w:rFonts w:asciiTheme="majorHAnsi" w:hAnsiTheme="majorHAnsi" w:cstheme="majorHAnsi"/>
          <w:b/>
          <w:kern w:val="36"/>
        </w:rPr>
      </w:pPr>
      <w:r w:rsidRPr="00C35FD6">
        <w:rPr>
          <w:rFonts w:asciiTheme="majorHAnsi" w:hAnsiTheme="majorHAnsi" w:cstheme="majorHAnsi"/>
          <w:u w:val="single"/>
        </w:rPr>
        <w:t>A due anni</w:t>
      </w:r>
      <w:r w:rsidRPr="00C35FD6">
        <w:rPr>
          <w:rFonts w:asciiTheme="majorHAnsi" w:hAnsiTheme="majorHAnsi" w:cstheme="majorHAnsi"/>
        </w:rPr>
        <w:t xml:space="preserve"> da quell’importante presa di posizione della Chiesa Italiana</w:t>
      </w:r>
      <w:r w:rsidR="00ED6EB9" w:rsidRPr="00C35FD6">
        <w:rPr>
          <w:rFonts w:asciiTheme="majorHAnsi" w:hAnsiTheme="majorHAnsi" w:cstheme="majorHAnsi"/>
        </w:rPr>
        <w:t>, l’Unione d</w:t>
      </w:r>
      <w:r w:rsidR="0073277D" w:rsidRPr="00C35FD6">
        <w:rPr>
          <w:rFonts w:asciiTheme="majorHAnsi" w:hAnsiTheme="majorHAnsi" w:cstheme="majorHAnsi"/>
        </w:rPr>
        <w:t>elle</w:t>
      </w:r>
      <w:r w:rsidR="00ED6EB9" w:rsidRPr="00C35FD6">
        <w:rPr>
          <w:rFonts w:asciiTheme="majorHAnsi" w:hAnsiTheme="majorHAnsi" w:cstheme="majorHAnsi"/>
        </w:rPr>
        <w:t xml:space="preserve"> superior</w:t>
      </w:r>
      <w:r w:rsidR="0073277D" w:rsidRPr="00C35FD6">
        <w:rPr>
          <w:rFonts w:asciiTheme="majorHAnsi" w:hAnsiTheme="majorHAnsi" w:cstheme="majorHAnsi"/>
        </w:rPr>
        <w:t>e</w:t>
      </w:r>
      <w:r w:rsidR="00ED6EB9" w:rsidRPr="00C35FD6">
        <w:rPr>
          <w:rFonts w:asciiTheme="majorHAnsi" w:hAnsiTheme="majorHAnsi" w:cstheme="majorHAnsi"/>
        </w:rPr>
        <w:t xml:space="preserve"> </w:t>
      </w:r>
      <w:r w:rsidR="00C946C2" w:rsidRPr="00C35FD6">
        <w:rPr>
          <w:rFonts w:asciiTheme="majorHAnsi" w:hAnsiTheme="majorHAnsi" w:cstheme="majorHAnsi"/>
        </w:rPr>
        <w:t>ma</w:t>
      </w:r>
      <w:r w:rsidR="00ED6EB9" w:rsidRPr="00C35FD6">
        <w:rPr>
          <w:rFonts w:asciiTheme="majorHAnsi" w:hAnsiTheme="majorHAnsi" w:cstheme="majorHAnsi"/>
        </w:rPr>
        <w:t>ggiori d’Italia (USMI)</w:t>
      </w:r>
      <w:r w:rsidR="00E07469" w:rsidRPr="00C35FD6">
        <w:rPr>
          <w:rFonts w:asciiTheme="majorHAnsi" w:hAnsiTheme="majorHAnsi" w:cstheme="majorHAnsi"/>
        </w:rPr>
        <w:t>,</w:t>
      </w:r>
      <w:r w:rsidR="0073277D" w:rsidRPr="00C35FD6">
        <w:rPr>
          <w:rFonts w:asciiTheme="majorHAnsi" w:hAnsiTheme="majorHAnsi" w:cstheme="majorHAnsi"/>
        </w:rPr>
        <w:t xml:space="preserve"> </w:t>
      </w:r>
      <w:r w:rsidR="0073277D" w:rsidRPr="00C35FD6">
        <w:rPr>
          <w:rFonts w:asciiTheme="majorHAnsi" w:eastAsia="Times New Roman" w:hAnsiTheme="majorHAnsi" w:cstheme="majorHAnsi"/>
          <w:iCs/>
          <w:color w:val="000000"/>
          <w:lang w:eastAsia="it-IT"/>
        </w:rPr>
        <w:t>che unisce gli Istituti religiosi femminili operanti in Italia,</w:t>
      </w:r>
      <w:r w:rsidR="00ED6EB9" w:rsidRPr="00C35FD6">
        <w:rPr>
          <w:rFonts w:asciiTheme="majorHAnsi" w:eastAsia="Times New Roman" w:hAnsiTheme="majorHAnsi" w:cstheme="majorHAnsi"/>
          <w:iCs/>
          <w:color w:val="000000"/>
          <w:lang w:eastAsia="it-IT"/>
        </w:rPr>
        <w:t xml:space="preserve"> e </w:t>
      </w:r>
      <w:r w:rsidR="00C946C2" w:rsidRPr="00C35FD6">
        <w:rPr>
          <w:rFonts w:asciiTheme="majorHAnsi" w:eastAsia="Times New Roman" w:hAnsiTheme="majorHAnsi" w:cstheme="majorHAnsi"/>
          <w:iCs/>
          <w:color w:val="000000"/>
          <w:lang w:eastAsia="it-IT"/>
        </w:rPr>
        <w:t>la</w:t>
      </w:r>
      <w:r w:rsidR="00ED6EB9" w:rsidRPr="00C35FD6">
        <w:rPr>
          <w:rFonts w:asciiTheme="majorHAnsi" w:eastAsia="Times New Roman" w:hAnsiTheme="majorHAnsi" w:cstheme="majorHAnsi"/>
          <w:iCs/>
          <w:color w:val="000000"/>
          <w:lang w:eastAsia="it-IT"/>
        </w:rPr>
        <w:t xml:space="preserve"> </w:t>
      </w:r>
      <w:r w:rsidR="00C946C2" w:rsidRPr="00C35FD6">
        <w:rPr>
          <w:rFonts w:asciiTheme="majorHAnsi" w:eastAsia="Times New Roman" w:hAnsiTheme="majorHAnsi" w:cstheme="majorHAnsi"/>
          <w:iCs/>
          <w:color w:val="000000"/>
          <w:lang w:eastAsia="it-IT"/>
        </w:rPr>
        <w:t>Conferenza italiana superiori maggiori (CISM)</w:t>
      </w:r>
      <w:r w:rsidR="0073277D" w:rsidRPr="00C35FD6">
        <w:rPr>
          <w:rFonts w:asciiTheme="majorHAnsi" w:eastAsia="Times New Roman" w:hAnsiTheme="majorHAnsi" w:cstheme="majorHAnsi"/>
          <w:iCs/>
          <w:color w:val="000000"/>
          <w:lang w:eastAsia="it-IT"/>
        </w:rPr>
        <w:t>, omologo maschile,</w:t>
      </w:r>
      <w:r w:rsidR="00C946C2" w:rsidRPr="00C35FD6">
        <w:rPr>
          <w:rFonts w:asciiTheme="majorHAnsi" w:eastAsia="Times New Roman" w:hAnsiTheme="majorHAnsi" w:cstheme="majorHAnsi"/>
          <w:iCs/>
          <w:color w:val="000000"/>
          <w:lang w:eastAsia="it-IT"/>
        </w:rPr>
        <w:t xml:space="preserve"> organizzano </w:t>
      </w:r>
      <w:r w:rsidR="00583014" w:rsidRPr="00C35FD6">
        <w:rPr>
          <w:rFonts w:asciiTheme="majorHAnsi" w:eastAsia="Times New Roman" w:hAnsiTheme="majorHAnsi" w:cstheme="majorHAnsi"/>
          <w:iCs/>
          <w:color w:val="000000"/>
          <w:lang w:eastAsia="it-IT"/>
        </w:rPr>
        <w:t>– nel pomeriggio di giovedì 14 novembre, presso</w:t>
      </w:r>
      <w:r w:rsidR="00D80AAC" w:rsidRPr="00C35FD6">
        <w:rPr>
          <w:rFonts w:asciiTheme="majorHAnsi" w:eastAsia="Times New Roman" w:hAnsiTheme="majorHAnsi" w:cstheme="majorHAnsi"/>
          <w:iCs/>
          <w:color w:val="000000"/>
          <w:lang w:eastAsia="it-IT"/>
        </w:rPr>
        <w:t xml:space="preserve"> la</w:t>
      </w:r>
      <w:r w:rsidR="00583014" w:rsidRPr="00C35FD6">
        <w:rPr>
          <w:rFonts w:asciiTheme="majorHAnsi" w:eastAsia="Times New Roman" w:hAnsiTheme="majorHAnsi" w:cstheme="majorHAnsi"/>
          <w:iCs/>
          <w:color w:val="000000"/>
          <w:lang w:eastAsia="it-IT"/>
        </w:rPr>
        <w:t xml:space="preserve"> Sala</w:t>
      </w:r>
      <w:r w:rsidR="00D80AAC" w:rsidRPr="00C35FD6">
        <w:rPr>
          <w:rFonts w:asciiTheme="majorHAnsi" w:eastAsia="Times New Roman" w:hAnsiTheme="majorHAnsi" w:cstheme="majorHAnsi"/>
          <w:iCs/>
          <w:color w:val="000000"/>
          <w:lang w:eastAsia="it-IT"/>
        </w:rPr>
        <w:t xml:space="preserve"> </w:t>
      </w:r>
      <w:r w:rsidR="00583014" w:rsidRPr="00C35FD6">
        <w:rPr>
          <w:rFonts w:asciiTheme="majorHAnsi" w:eastAsia="Times New Roman" w:hAnsiTheme="majorHAnsi" w:cstheme="majorHAnsi"/>
          <w:iCs/>
          <w:color w:val="000000"/>
          <w:lang w:eastAsia="it-IT"/>
        </w:rPr>
        <w:t>Convegni USMI-CISM</w:t>
      </w:r>
      <w:r w:rsidR="00D80AAC" w:rsidRPr="00C35FD6">
        <w:rPr>
          <w:rFonts w:asciiTheme="majorHAnsi" w:eastAsia="Times New Roman" w:hAnsiTheme="majorHAnsi" w:cstheme="majorHAnsi"/>
          <w:iCs/>
          <w:color w:val="000000"/>
          <w:lang w:eastAsia="it-IT"/>
        </w:rPr>
        <w:t>, in v</w:t>
      </w:r>
      <w:r w:rsidR="00583014" w:rsidRPr="00C35FD6">
        <w:rPr>
          <w:rFonts w:asciiTheme="majorHAnsi" w:eastAsia="Times New Roman" w:hAnsiTheme="majorHAnsi" w:cstheme="majorHAnsi"/>
          <w:iCs/>
          <w:color w:val="000000"/>
          <w:lang w:eastAsia="it-IT"/>
        </w:rPr>
        <w:t xml:space="preserve">ia Zanardelli, 32 </w:t>
      </w:r>
      <w:r w:rsidR="00D80AAC" w:rsidRPr="00C35FD6">
        <w:rPr>
          <w:rFonts w:asciiTheme="majorHAnsi" w:eastAsia="Times New Roman" w:hAnsiTheme="majorHAnsi" w:cstheme="majorHAnsi"/>
          <w:iCs/>
          <w:color w:val="000000"/>
          <w:lang w:eastAsia="it-IT"/>
        </w:rPr>
        <w:t>a</w:t>
      </w:r>
      <w:r w:rsidR="00583014" w:rsidRPr="00C35FD6">
        <w:rPr>
          <w:rFonts w:asciiTheme="majorHAnsi" w:eastAsia="Times New Roman" w:hAnsiTheme="majorHAnsi" w:cstheme="majorHAnsi"/>
          <w:iCs/>
          <w:color w:val="000000"/>
          <w:lang w:eastAsia="it-IT"/>
        </w:rPr>
        <w:t xml:space="preserve"> Roma</w:t>
      </w:r>
      <w:r w:rsidR="00D80AAC" w:rsidRPr="00C35FD6">
        <w:rPr>
          <w:rFonts w:asciiTheme="majorHAnsi" w:eastAsia="Times New Roman" w:hAnsiTheme="majorHAnsi" w:cstheme="majorHAnsi"/>
          <w:iCs/>
          <w:color w:val="000000"/>
          <w:lang w:eastAsia="it-IT"/>
        </w:rPr>
        <w:t xml:space="preserve"> </w:t>
      </w:r>
      <w:r w:rsidR="00D80AAC" w:rsidRPr="00C35FD6">
        <w:rPr>
          <w:rFonts w:asciiTheme="majorHAnsi" w:hAnsiTheme="majorHAnsi" w:cstheme="majorHAnsi"/>
          <w:bCs/>
        </w:rPr>
        <w:t xml:space="preserve">– </w:t>
      </w:r>
      <w:r w:rsidR="00D80AAC" w:rsidRPr="00C35FD6">
        <w:rPr>
          <w:rFonts w:asciiTheme="majorHAnsi" w:hAnsiTheme="majorHAnsi" w:cstheme="majorHAnsi"/>
          <w:b/>
          <w:bCs/>
        </w:rPr>
        <w:t>u</w:t>
      </w:r>
      <w:r w:rsidR="00C946C2" w:rsidRPr="00C35FD6">
        <w:rPr>
          <w:rFonts w:asciiTheme="majorHAnsi" w:eastAsia="Times New Roman" w:hAnsiTheme="majorHAnsi" w:cstheme="majorHAnsi"/>
          <w:b/>
          <w:color w:val="222222"/>
          <w:shd w:val="clear" w:color="auto" w:fill="FFFFFF"/>
          <w:lang w:eastAsia="it-IT"/>
        </w:rPr>
        <w:t xml:space="preserve">n </w:t>
      </w:r>
      <w:r w:rsidR="007A2DD1" w:rsidRPr="00C35FD6">
        <w:rPr>
          <w:rFonts w:asciiTheme="majorHAnsi" w:eastAsia="Times New Roman" w:hAnsiTheme="majorHAnsi" w:cstheme="majorHAnsi"/>
          <w:b/>
          <w:color w:val="222222"/>
          <w:shd w:val="clear" w:color="auto" w:fill="FFFFFF"/>
          <w:lang w:eastAsia="it-IT"/>
        </w:rPr>
        <w:t>Seminario di sintesi</w:t>
      </w:r>
      <w:r w:rsidR="00C946C2" w:rsidRPr="00C35FD6">
        <w:rPr>
          <w:rFonts w:asciiTheme="majorHAnsi" w:eastAsia="Times New Roman" w:hAnsiTheme="majorHAnsi" w:cstheme="majorHAnsi"/>
          <w:b/>
          <w:color w:val="222222"/>
          <w:shd w:val="clear" w:color="auto" w:fill="FFFFFF"/>
          <w:lang w:eastAsia="it-IT"/>
        </w:rPr>
        <w:t xml:space="preserve"> con il quale </w:t>
      </w:r>
      <w:r w:rsidR="00C946C2" w:rsidRPr="00C35FD6">
        <w:rPr>
          <w:rFonts w:asciiTheme="majorHAnsi" w:hAnsiTheme="majorHAnsi" w:cstheme="majorHAnsi"/>
          <w:b/>
          <w:kern w:val="36"/>
        </w:rPr>
        <w:t xml:space="preserve">intendono richiamare l’attenzione dell’opinione pubblica e del mondo politico </w:t>
      </w:r>
      <w:r w:rsidR="002773BD" w:rsidRPr="00C35FD6">
        <w:rPr>
          <w:rFonts w:asciiTheme="majorHAnsi" w:hAnsiTheme="majorHAnsi" w:cstheme="majorHAnsi"/>
          <w:b/>
          <w:kern w:val="36"/>
        </w:rPr>
        <w:t xml:space="preserve">proprio sul </w:t>
      </w:r>
      <w:r w:rsidR="00C946C2" w:rsidRPr="00C35FD6">
        <w:rPr>
          <w:rFonts w:asciiTheme="majorHAnsi" w:hAnsiTheme="majorHAnsi" w:cstheme="majorHAnsi"/>
          <w:b/>
          <w:kern w:val="36"/>
        </w:rPr>
        <w:t>sistema scolastico italiano “ancora incompiuto” e invitano a fare i passi necessari “affinché il sistema formativo italiano, nel suo complesso, possa perseguire meglio la missione educativa che la società gli affida e che la legge a pieno titolo gli riconosce”.</w:t>
      </w:r>
    </w:p>
    <w:p w:rsidR="005220E2" w:rsidRPr="00C35FD6" w:rsidRDefault="005220E2" w:rsidP="005220E2">
      <w:pPr>
        <w:shd w:val="clear" w:color="auto" w:fill="FFFFFF"/>
        <w:jc w:val="both"/>
        <w:rPr>
          <w:rFonts w:asciiTheme="majorHAnsi" w:eastAsia="Times New Roman" w:hAnsiTheme="majorHAnsi" w:cstheme="majorHAnsi"/>
          <w:iCs/>
          <w:color w:val="000000"/>
          <w:lang w:eastAsia="it-IT"/>
        </w:rPr>
      </w:pPr>
      <w:r w:rsidRPr="00C35FD6">
        <w:rPr>
          <w:rFonts w:asciiTheme="majorHAnsi" w:eastAsia="Times New Roman" w:hAnsiTheme="majorHAnsi" w:cstheme="majorHAnsi"/>
          <w:iCs/>
          <w:color w:val="000000"/>
          <w:lang w:eastAsia="it-IT"/>
        </w:rPr>
        <w:t xml:space="preserve">Un argomento di fondamentale rilevanza discusso </w:t>
      </w:r>
      <w:r w:rsidR="00094BE8" w:rsidRPr="00C35FD6">
        <w:rPr>
          <w:rFonts w:asciiTheme="majorHAnsi" w:eastAsia="Times New Roman" w:hAnsiTheme="majorHAnsi" w:cstheme="majorHAnsi"/>
          <w:iCs/>
          <w:color w:val="000000"/>
          <w:lang w:eastAsia="it-IT"/>
        </w:rPr>
        <w:t xml:space="preserve">recentemente </w:t>
      </w:r>
      <w:r w:rsidRPr="00C35FD6">
        <w:rPr>
          <w:rFonts w:asciiTheme="majorHAnsi" w:eastAsia="Times New Roman" w:hAnsiTheme="majorHAnsi" w:cstheme="majorHAnsi"/>
          <w:iCs/>
          <w:color w:val="000000"/>
          <w:lang w:eastAsia="it-IT"/>
        </w:rPr>
        <w:t xml:space="preserve">nella 59^ Assemblea generale </w:t>
      </w:r>
      <w:r w:rsidR="00094BE8" w:rsidRPr="00C35FD6">
        <w:rPr>
          <w:rFonts w:asciiTheme="majorHAnsi" w:eastAsia="Times New Roman" w:hAnsiTheme="majorHAnsi" w:cstheme="majorHAnsi"/>
          <w:iCs/>
          <w:color w:val="000000"/>
          <w:lang w:eastAsia="it-IT"/>
        </w:rPr>
        <w:t xml:space="preserve">CISM celebrata ad Assisi. La riflessione </w:t>
      </w:r>
      <w:r w:rsidRPr="00C35FD6">
        <w:rPr>
          <w:rFonts w:asciiTheme="majorHAnsi" w:eastAsia="Times New Roman" w:hAnsiTheme="majorHAnsi" w:cstheme="majorHAnsi"/>
          <w:iCs/>
          <w:color w:val="000000"/>
          <w:lang w:eastAsia="it-IT"/>
        </w:rPr>
        <w:t>è stata forte: “</w:t>
      </w:r>
      <w:r w:rsidRPr="00C35FD6">
        <w:rPr>
          <w:rFonts w:asciiTheme="majorHAnsi" w:eastAsia="Times New Roman" w:hAnsiTheme="majorHAnsi" w:cstheme="majorHAnsi"/>
          <w:i/>
          <w:iCs/>
          <w:color w:val="000000"/>
          <w:lang w:eastAsia="it-IT"/>
        </w:rPr>
        <w:t>Tante scuole cattoliche stanno chiudendo. Si sta perpetuando un’ingiustizia nei confronti della legittimità conferita dalla Costituzione italiana che stabilisce un pluralismo educativo. Siamo discriminati perché non siamo messi in condizione di poter garantire una formazione adeguata</w:t>
      </w:r>
      <w:r w:rsidRPr="00C35FD6">
        <w:rPr>
          <w:rFonts w:asciiTheme="majorHAnsi" w:eastAsia="Times New Roman" w:hAnsiTheme="majorHAnsi" w:cstheme="majorHAnsi"/>
          <w:iCs/>
          <w:color w:val="000000"/>
          <w:lang w:eastAsia="it-IT"/>
        </w:rPr>
        <w:t>”.</w:t>
      </w:r>
    </w:p>
    <w:p w:rsidR="00B00FEF" w:rsidRPr="00C35FD6" w:rsidRDefault="00B00FEF" w:rsidP="005220E2">
      <w:pPr>
        <w:shd w:val="clear" w:color="auto" w:fill="FFFFFF"/>
        <w:jc w:val="both"/>
        <w:rPr>
          <w:rFonts w:asciiTheme="majorHAnsi" w:eastAsia="Times New Roman" w:hAnsiTheme="majorHAnsi" w:cstheme="majorHAnsi"/>
          <w:iCs/>
          <w:color w:val="000000"/>
          <w:sz w:val="20"/>
          <w:szCs w:val="20"/>
          <w:lang w:eastAsia="it-IT"/>
        </w:rPr>
      </w:pPr>
    </w:p>
    <w:p w:rsidR="00A01B1B" w:rsidRPr="00C35FD6" w:rsidRDefault="00A01B1B" w:rsidP="005220E2">
      <w:pPr>
        <w:shd w:val="clear" w:color="auto" w:fill="FFFFFF"/>
        <w:jc w:val="both"/>
        <w:rPr>
          <w:rFonts w:asciiTheme="majorHAnsi" w:eastAsia="Times New Roman" w:hAnsiTheme="majorHAnsi" w:cstheme="majorHAnsi"/>
          <w:iCs/>
          <w:color w:val="000000"/>
          <w:lang w:eastAsia="it-IT"/>
        </w:rPr>
      </w:pPr>
      <w:r w:rsidRPr="00C35FD6">
        <w:rPr>
          <w:rFonts w:asciiTheme="majorHAnsi" w:eastAsia="Times New Roman" w:hAnsiTheme="majorHAnsi" w:cstheme="majorHAnsi"/>
          <w:iCs/>
          <w:color w:val="000000"/>
          <w:lang w:eastAsia="it-IT"/>
        </w:rPr>
        <w:t>Alcuni dati:</w:t>
      </w:r>
    </w:p>
    <w:p w:rsidR="00B00FEF" w:rsidRPr="00C35FD6" w:rsidRDefault="00F830F5" w:rsidP="00B00FEF">
      <w:pPr>
        <w:shd w:val="clear" w:color="auto" w:fill="FFFFFF"/>
        <w:rPr>
          <w:rFonts w:asciiTheme="majorHAnsi" w:eastAsia="Times New Roman" w:hAnsiTheme="majorHAnsi" w:cstheme="majorHAnsi"/>
          <w:iCs/>
          <w:color w:val="000000"/>
        </w:rPr>
      </w:pPr>
      <w:r w:rsidRPr="00C35FD6">
        <w:rPr>
          <w:rFonts w:asciiTheme="majorHAnsi" w:eastAsia="Times New Roman" w:hAnsiTheme="majorHAnsi" w:cstheme="majorHAnsi"/>
          <w:iCs/>
          <w:color w:val="000000"/>
          <w:lang w:eastAsia="it-IT"/>
        </w:rPr>
        <w:t xml:space="preserve">- </w:t>
      </w:r>
      <w:r w:rsidR="00A01B1B" w:rsidRPr="00C35FD6">
        <w:rPr>
          <w:rFonts w:asciiTheme="majorHAnsi" w:eastAsia="Times New Roman" w:hAnsiTheme="majorHAnsi" w:cstheme="majorHAnsi"/>
          <w:iCs/>
          <w:color w:val="000000"/>
          <w:lang w:eastAsia="it-IT"/>
        </w:rPr>
        <w:t xml:space="preserve">12 </w:t>
      </w:r>
      <w:r w:rsidR="00B00FEF" w:rsidRPr="00C35FD6">
        <w:rPr>
          <w:rFonts w:asciiTheme="majorHAnsi" w:eastAsia="Times New Roman" w:hAnsiTheme="majorHAnsi" w:cstheme="majorHAnsi"/>
          <w:iCs/>
          <w:color w:val="000000"/>
        </w:rPr>
        <w:t xml:space="preserve">12.564 Scuole PARITARIE e gli studenti frequentanti 866.805. La scuola dell’infanzia si conferma il settore educativo in cui si concentra il maggior numero di studenti delle scuole paritarie: 524.031 bambini distribuiti in 8.957 Scuole. </w:t>
      </w:r>
    </w:p>
    <w:p w:rsidR="00B00FEF" w:rsidRPr="00C35FD6" w:rsidRDefault="00F830F5" w:rsidP="00B00FEF">
      <w:pPr>
        <w:shd w:val="clear" w:color="auto" w:fill="FFFFFF"/>
        <w:rPr>
          <w:rFonts w:asciiTheme="majorHAnsi" w:eastAsia="Times New Roman" w:hAnsiTheme="majorHAnsi" w:cstheme="majorHAnsi"/>
          <w:iCs/>
          <w:color w:val="000000"/>
        </w:rPr>
      </w:pPr>
      <w:r w:rsidRPr="00C35FD6">
        <w:rPr>
          <w:rFonts w:asciiTheme="majorHAnsi" w:eastAsia="Times New Roman" w:hAnsiTheme="majorHAnsi" w:cstheme="majorHAnsi"/>
          <w:iCs/>
          <w:color w:val="000000"/>
        </w:rPr>
        <w:t xml:space="preserve">- </w:t>
      </w:r>
      <w:r w:rsidR="00B00FEF" w:rsidRPr="00C35FD6">
        <w:rPr>
          <w:rFonts w:asciiTheme="majorHAnsi" w:eastAsia="Times New Roman" w:hAnsiTheme="majorHAnsi" w:cstheme="majorHAnsi"/>
          <w:iCs/>
          <w:color w:val="000000"/>
        </w:rPr>
        <w:t>7.955 le Scuole Paritarie Cattoliche frequentate da 570.000 alunni. Persi 1.000 alunni in dieci anni. 8.431 (1.5%) gli allievi disabili. In linea con le presenze nelle scuole statali.</w:t>
      </w:r>
    </w:p>
    <w:p w:rsidR="00B00FEF" w:rsidRPr="00C35FD6" w:rsidRDefault="00F830F5" w:rsidP="00B00FEF">
      <w:pPr>
        <w:shd w:val="clear" w:color="auto" w:fill="FFFFFF"/>
        <w:rPr>
          <w:rFonts w:asciiTheme="majorHAnsi" w:eastAsia="Times New Roman" w:hAnsiTheme="majorHAnsi" w:cstheme="majorHAnsi"/>
          <w:iCs/>
          <w:color w:val="000000"/>
        </w:rPr>
      </w:pPr>
      <w:r w:rsidRPr="00C35FD6">
        <w:rPr>
          <w:rFonts w:asciiTheme="majorHAnsi" w:eastAsia="Times New Roman" w:hAnsiTheme="majorHAnsi" w:cstheme="majorHAnsi"/>
          <w:iCs/>
          <w:color w:val="000000"/>
        </w:rPr>
        <w:t xml:space="preserve">- </w:t>
      </w:r>
      <w:r w:rsidR="00B00FEF" w:rsidRPr="00C35FD6">
        <w:rPr>
          <w:rFonts w:asciiTheme="majorHAnsi" w:eastAsia="Times New Roman" w:hAnsiTheme="majorHAnsi" w:cstheme="majorHAnsi"/>
          <w:iCs/>
          <w:color w:val="000000"/>
        </w:rPr>
        <w:t>32.736 (5.7%) gli allievi con cittadinanza non italiana</w:t>
      </w:r>
    </w:p>
    <w:p w:rsidR="00B00FEF" w:rsidRPr="00C35FD6" w:rsidRDefault="00F830F5" w:rsidP="00B00FEF">
      <w:pPr>
        <w:shd w:val="clear" w:color="auto" w:fill="FFFFFF"/>
        <w:rPr>
          <w:rFonts w:asciiTheme="majorHAnsi" w:eastAsia="Times New Roman" w:hAnsiTheme="majorHAnsi" w:cstheme="majorHAnsi"/>
          <w:iCs/>
          <w:color w:val="000000"/>
        </w:rPr>
      </w:pPr>
      <w:r w:rsidRPr="00C35FD6">
        <w:rPr>
          <w:rFonts w:asciiTheme="majorHAnsi" w:eastAsia="Times New Roman" w:hAnsiTheme="majorHAnsi" w:cstheme="majorHAnsi"/>
          <w:iCs/>
          <w:color w:val="000000"/>
        </w:rPr>
        <w:t xml:space="preserve">- </w:t>
      </w:r>
      <w:r w:rsidR="00B00FEF" w:rsidRPr="00C35FD6">
        <w:rPr>
          <w:rFonts w:asciiTheme="majorHAnsi" w:eastAsia="Times New Roman" w:hAnsiTheme="majorHAnsi" w:cstheme="majorHAnsi"/>
          <w:iCs/>
          <w:color w:val="000000"/>
        </w:rPr>
        <w:t>80.000 dipendenti di cui l ‘ 86.8% laici.</w:t>
      </w:r>
    </w:p>
    <w:p w:rsidR="00F830F5" w:rsidRPr="00C35FD6" w:rsidRDefault="00F830F5" w:rsidP="00B00FEF">
      <w:pPr>
        <w:shd w:val="clear" w:color="auto" w:fill="FFFFFF"/>
        <w:rPr>
          <w:rFonts w:asciiTheme="majorHAnsi" w:eastAsia="Times New Roman" w:hAnsiTheme="majorHAnsi" w:cstheme="majorHAnsi"/>
          <w:iCs/>
          <w:color w:val="000000"/>
        </w:rPr>
      </w:pPr>
    </w:p>
    <w:p w:rsidR="00B00FEF" w:rsidRPr="00C35FD6" w:rsidRDefault="00B00FEF" w:rsidP="00B00FEF">
      <w:pPr>
        <w:shd w:val="clear" w:color="auto" w:fill="FFFFFF"/>
        <w:rPr>
          <w:rFonts w:asciiTheme="majorHAnsi" w:eastAsia="Times New Roman" w:hAnsiTheme="majorHAnsi" w:cstheme="majorHAnsi"/>
          <w:iCs/>
          <w:color w:val="000000"/>
        </w:rPr>
      </w:pPr>
      <w:r w:rsidRPr="00C35FD6">
        <w:rPr>
          <w:rFonts w:asciiTheme="majorHAnsi" w:eastAsia="Times New Roman" w:hAnsiTheme="majorHAnsi" w:cstheme="majorHAnsi"/>
          <w:iCs/>
          <w:color w:val="000000"/>
        </w:rPr>
        <w:t xml:space="preserve">Ogni anno chiudono in media 380 scuole. Un patrimonio culturale perso, il pluralismo compromesso. Considerato che per gli allievi che frequentano la scuola paritaria lo stato destina euro 500.00 annui mentre 10.000 euro per ciascuno dei 7.599.259 studenti che frequentano le 40.749 Sedi scolastiche </w:t>
      </w:r>
      <w:r w:rsidR="00C135A0" w:rsidRPr="00C35FD6">
        <w:rPr>
          <w:rFonts w:asciiTheme="majorHAnsi" w:eastAsia="Times New Roman" w:hAnsiTheme="majorHAnsi" w:cstheme="majorHAnsi"/>
          <w:iCs/>
          <w:color w:val="000000"/>
        </w:rPr>
        <w:t>statali</w:t>
      </w:r>
      <w:r w:rsidRPr="00C35FD6">
        <w:rPr>
          <w:rFonts w:asciiTheme="majorHAnsi" w:eastAsia="Times New Roman" w:hAnsiTheme="majorHAnsi" w:cstheme="majorHAnsi"/>
          <w:iCs/>
          <w:color w:val="000000"/>
        </w:rPr>
        <w:t>.</w:t>
      </w:r>
    </w:p>
    <w:p w:rsidR="00094BE8" w:rsidRPr="00C35FD6" w:rsidRDefault="00094BE8" w:rsidP="00B00FEF">
      <w:pPr>
        <w:shd w:val="clear" w:color="auto" w:fill="FFFFFF"/>
        <w:rPr>
          <w:rFonts w:asciiTheme="majorHAnsi" w:eastAsia="Times New Roman" w:hAnsiTheme="majorHAnsi" w:cstheme="majorHAnsi"/>
          <w:iCs/>
          <w:color w:val="000000"/>
          <w:u w:val="single"/>
        </w:rPr>
      </w:pPr>
    </w:p>
    <w:p w:rsidR="00C135A0" w:rsidRPr="00C35FD6" w:rsidRDefault="00C135A0" w:rsidP="00C135A0">
      <w:pPr>
        <w:shd w:val="clear" w:color="auto" w:fill="FFFFFF"/>
        <w:rPr>
          <w:rFonts w:asciiTheme="majorHAnsi" w:eastAsia="Times New Roman" w:hAnsiTheme="majorHAnsi" w:cstheme="majorHAnsi"/>
          <w:iCs/>
          <w:color w:val="000000"/>
          <w:u w:val="single"/>
        </w:rPr>
      </w:pPr>
      <w:r w:rsidRPr="00C35FD6">
        <w:rPr>
          <w:rFonts w:asciiTheme="majorHAnsi" w:eastAsia="Times New Roman" w:hAnsiTheme="majorHAnsi" w:cstheme="majorHAnsi"/>
          <w:iCs/>
          <w:color w:val="000000"/>
          <w:u w:val="single"/>
        </w:rPr>
        <w:t xml:space="preserve">Non è </w:t>
      </w:r>
    </w:p>
    <w:p w:rsidR="00C135A0" w:rsidRPr="00C35FD6" w:rsidRDefault="00C135A0" w:rsidP="00C135A0">
      <w:pPr>
        <w:pStyle w:val="Paragrafoelenco"/>
        <w:numPr>
          <w:ilvl w:val="0"/>
          <w:numId w:val="2"/>
        </w:numPr>
        <w:shd w:val="clear" w:color="auto" w:fill="FFFFFF"/>
        <w:jc w:val="both"/>
        <w:rPr>
          <w:rFonts w:asciiTheme="majorHAnsi" w:hAnsiTheme="majorHAnsi" w:cstheme="majorHAnsi"/>
          <w:iCs/>
          <w:color w:val="000000"/>
        </w:rPr>
      </w:pPr>
      <w:r w:rsidRPr="00C35FD6">
        <w:rPr>
          <w:rFonts w:asciiTheme="majorHAnsi" w:eastAsia="Times New Roman" w:hAnsiTheme="majorHAnsi" w:cstheme="majorHAnsi"/>
          <w:iCs/>
          <w:color w:val="000000"/>
        </w:rPr>
        <w:t>una contrapposizione fra scuole statali e paritarie, tutt’altro: entrambe pubbliche, entrambe garanzia di un pluralismo, entrambe in difficoltà per mancanza di autonomia la prima e di libertà la seconda attendono una chiara garanzia di esserci e di operare;</w:t>
      </w:r>
    </w:p>
    <w:p w:rsidR="00C135A0" w:rsidRPr="00C35FD6" w:rsidRDefault="00C135A0" w:rsidP="00C135A0">
      <w:pPr>
        <w:pStyle w:val="Paragrafoelenco"/>
        <w:numPr>
          <w:ilvl w:val="0"/>
          <w:numId w:val="2"/>
        </w:numPr>
        <w:shd w:val="clear" w:color="auto" w:fill="FFFFFF"/>
        <w:rPr>
          <w:rFonts w:asciiTheme="majorHAnsi" w:hAnsiTheme="majorHAnsi" w:cstheme="majorHAnsi"/>
          <w:iCs/>
          <w:color w:val="000000"/>
        </w:rPr>
      </w:pPr>
      <w:r w:rsidRPr="00C35FD6">
        <w:rPr>
          <w:rFonts w:asciiTheme="majorHAnsi" w:eastAsia="Times New Roman" w:hAnsiTheme="majorHAnsi" w:cstheme="majorHAnsi"/>
          <w:iCs/>
          <w:color w:val="000000"/>
        </w:rPr>
        <w:t xml:space="preserve">non è la richiesta di fondi alle scuole paritarie ancor più cattoliche (evidentemente non è mai stato cosi c’è un abisso fra la spesa di 500 euro e quella di 10 mila euro) </w:t>
      </w:r>
    </w:p>
    <w:p w:rsidR="00C135A0" w:rsidRPr="00C35FD6" w:rsidRDefault="00C135A0" w:rsidP="00C135A0">
      <w:pPr>
        <w:pStyle w:val="Paragrafoelenco"/>
        <w:numPr>
          <w:ilvl w:val="0"/>
          <w:numId w:val="2"/>
        </w:numPr>
        <w:shd w:val="clear" w:color="auto" w:fill="FFFFFF"/>
        <w:rPr>
          <w:rFonts w:asciiTheme="majorHAnsi" w:hAnsiTheme="majorHAnsi" w:cstheme="majorHAnsi"/>
          <w:iCs/>
          <w:color w:val="000000"/>
        </w:rPr>
      </w:pPr>
      <w:r w:rsidRPr="00C35FD6">
        <w:rPr>
          <w:rFonts w:asciiTheme="majorHAnsi" w:eastAsia="Times New Roman" w:hAnsiTheme="majorHAnsi" w:cstheme="majorHAnsi"/>
          <w:iCs/>
          <w:color w:val="000000"/>
        </w:rPr>
        <w:t>non è la concessione di privilegi alle scuole: se queste non meritano, non daranno scelte</w:t>
      </w:r>
    </w:p>
    <w:p w:rsidR="00C135A0" w:rsidRPr="00C35FD6" w:rsidRDefault="00C135A0" w:rsidP="00C135A0">
      <w:pPr>
        <w:pStyle w:val="Paragrafoelenco"/>
        <w:numPr>
          <w:ilvl w:val="0"/>
          <w:numId w:val="2"/>
        </w:numPr>
        <w:shd w:val="clear" w:color="auto" w:fill="FFFFFF"/>
        <w:rPr>
          <w:rFonts w:asciiTheme="majorHAnsi" w:hAnsiTheme="majorHAnsi" w:cstheme="majorHAnsi"/>
          <w:iCs/>
          <w:color w:val="000000"/>
        </w:rPr>
      </w:pPr>
      <w:r w:rsidRPr="00C35FD6">
        <w:rPr>
          <w:rFonts w:asciiTheme="majorHAnsi" w:eastAsia="Times New Roman" w:hAnsiTheme="majorHAnsi" w:cstheme="majorHAnsi"/>
          <w:iCs/>
          <w:color w:val="000000"/>
        </w:rPr>
        <w:t>non è l’ennesima occasione da strumentalizzare in modo divisivo</w:t>
      </w:r>
    </w:p>
    <w:p w:rsidR="00C135A0" w:rsidRPr="00C35FD6" w:rsidRDefault="00C135A0" w:rsidP="00C135A0">
      <w:pPr>
        <w:pStyle w:val="Paragrafoelenco"/>
        <w:shd w:val="clear" w:color="auto" w:fill="FFFFFF"/>
        <w:rPr>
          <w:rFonts w:asciiTheme="majorHAnsi" w:hAnsiTheme="majorHAnsi" w:cstheme="majorHAnsi"/>
          <w:iCs/>
          <w:color w:val="000000"/>
        </w:rPr>
      </w:pPr>
    </w:p>
    <w:p w:rsidR="00C135A0" w:rsidRPr="00C35FD6" w:rsidRDefault="00C135A0" w:rsidP="00C135A0">
      <w:pPr>
        <w:shd w:val="clear" w:color="auto" w:fill="FFFFFF"/>
        <w:jc w:val="both"/>
        <w:rPr>
          <w:rFonts w:asciiTheme="majorHAnsi" w:hAnsiTheme="majorHAnsi" w:cstheme="majorHAnsi"/>
          <w:b/>
          <w:iCs/>
          <w:color w:val="000000"/>
        </w:rPr>
      </w:pPr>
      <w:r w:rsidRPr="00C35FD6">
        <w:rPr>
          <w:rFonts w:asciiTheme="majorHAnsi" w:hAnsiTheme="majorHAnsi" w:cstheme="majorHAnsi"/>
          <w:b/>
          <w:iCs/>
          <w:color w:val="000000"/>
          <w:u w:val="single"/>
        </w:rPr>
        <w:t>ma è</w:t>
      </w:r>
      <w:r w:rsidRPr="00C35FD6">
        <w:rPr>
          <w:rFonts w:asciiTheme="majorHAnsi" w:hAnsiTheme="majorHAnsi" w:cstheme="majorHAnsi"/>
          <w:b/>
          <w:iCs/>
          <w:color w:val="000000"/>
        </w:rPr>
        <w:t xml:space="preserve"> la chiara necessità di compiere il passaggio di diritto che manca: “garantire in Italia come in Europa il diritto dei genitori ad esercitare la propria responsabilità educativa fra una buona scuola pubblica statale e pubblica paritaria (come riconosciuto dalla cost. Italiana artt 2/30/33 senza alcuna discriminazione economica.)”.</w:t>
      </w:r>
    </w:p>
    <w:p w:rsidR="00C135A0" w:rsidRPr="00C35FD6" w:rsidRDefault="00C135A0" w:rsidP="00C135A0">
      <w:pPr>
        <w:shd w:val="clear" w:color="auto" w:fill="FFFFFF"/>
        <w:jc w:val="both"/>
        <w:rPr>
          <w:rFonts w:asciiTheme="majorHAnsi" w:hAnsiTheme="majorHAnsi" w:cstheme="majorHAnsi"/>
          <w:iCs/>
          <w:color w:val="000000"/>
        </w:rPr>
      </w:pPr>
      <w:r w:rsidRPr="00C35FD6">
        <w:rPr>
          <w:rFonts w:asciiTheme="majorHAnsi" w:hAnsiTheme="majorHAnsi" w:cstheme="majorHAnsi"/>
          <w:iCs/>
          <w:color w:val="000000"/>
        </w:rPr>
        <w:t xml:space="preserve"> </w:t>
      </w:r>
    </w:p>
    <w:p w:rsidR="00C135A0" w:rsidRPr="00C35FD6" w:rsidRDefault="00C135A0" w:rsidP="00C135A0">
      <w:pPr>
        <w:shd w:val="clear" w:color="auto" w:fill="FFFFFF"/>
        <w:jc w:val="both"/>
        <w:rPr>
          <w:rFonts w:asciiTheme="majorHAnsi" w:hAnsiTheme="majorHAnsi" w:cstheme="majorHAnsi"/>
          <w:i/>
          <w:iCs/>
          <w:color w:val="000000"/>
        </w:rPr>
      </w:pPr>
      <w:r w:rsidRPr="00C35FD6">
        <w:rPr>
          <w:rFonts w:asciiTheme="majorHAnsi" w:hAnsiTheme="majorHAnsi" w:cstheme="majorHAnsi"/>
          <w:iCs/>
          <w:color w:val="000000"/>
        </w:rPr>
        <w:t>“</w:t>
      </w:r>
      <w:r w:rsidRPr="00C35FD6">
        <w:rPr>
          <w:rFonts w:asciiTheme="majorHAnsi" w:hAnsiTheme="majorHAnsi" w:cstheme="majorHAnsi"/>
          <w:i/>
          <w:iCs/>
          <w:color w:val="000000"/>
        </w:rPr>
        <w:t>E` compito della Repubblica rimuovere gli ostacoli di ordine economico e sociale, che, limitando di fatto la libertà e l'eguaglianza dei cittadini, impediscono il pieno sviluppo della persona umana e l'effettiva partecipazione di tutti i lavoratori all'organizzazione politica, economica e sociale del Paese.” (Art. 3)</w:t>
      </w:r>
    </w:p>
    <w:p w:rsidR="00C135A0" w:rsidRPr="00C35FD6" w:rsidRDefault="00C135A0" w:rsidP="00C135A0">
      <w:pPr>
        <w:shd w:val="clear" w:color="auto" w:fill="FFFFFF"/>
        <w:rPr>
          <w:rFonts w:asciiTheme="majorHAnsi" w:hAnsiTheme="majorHAnsi" w:cstheme="majorHAnsi"/>
          <w:iCs/>
          <w:color w:val="000000"/>
        </w:rPr>
      </w:pPr>
    </w:p>
    <w:p w:rsidR="00C135A0" w:rsidRPr="00C35FD6" w:rsidRDefault="000F0450" w:rsidP="00C135A0">
      <w:pPr>
        <w:shd w:val="clear" w:color="auto" w:fill="FFFFFF"/>
        <w:jc w:val="both"/>
        <w:rPr>
          <w:rFonts w:asciiTheme="majorHAnsi" w:hAnsiTheme="majorHAnsi" w:cstheme="majorHAnsi"/>
          <w:iCs/>
          <w:color w:val="000000"/>
        </w:rPr>
      </w:pPr>
      <w:r w:rsidRPr="00C35FD6">
        <w:rPr>
          <w:rFonts w:asciiTheme="majorHAnsi" w:hAnsiTheme="majorHAnsi" w:cstheme="majorHAnsi"/>
          <w:iCs/>
          <w:color w:val="000000"/>
        </w:rPr>
        <w:t>È</w:t>
      </w:r>
      <w:r w:rsidR="00C135A0" w:rsidRPr="00C35FD6">
        <w:rPr>
          <w:rFonts w:asciiTheme="majorHAnsi" w:hAnsiTheme="majorHAnsi" w:cstheme="majorHAnsi"/>
          <w:iCs/>
          <w:color w:val="000000"/>
        </w:rPr>
        <w:t xml:space="preserve"> una questione di senso civico che non può dividere; tutt’altro, se si pone al centro lo studente e la famiglia.</w:t>
      </w:r>
    </w:p>
    <w:p w:rsidR="00C135A0" w:rsidRPr="00C35FD6" w:rsidRDefault="00C135A0" w:rsidP="00C135A0">
      <w:pPr>
        <w:shd w:val="clear" w:color="auto" w:fill="FFFFFF"/>
        <w:jc w:val="both"/>
        <w:rPr>
          <w:rFonts w:asciiTheme="majorHAnsi" w:hAnsiTheme="majorHAnsi" w:cstheme="majorHAnsi"/>
          <w:iCs/>
          <w:color w:val="000000"/>
        </w:rPr>
      </w:pPr>
    </w:p>
    <w:p w:rsidR="00C135A0" w:rsidRPr="00C35FD6" w:rsidRDefault="000F0450" w:rsidP="00C135A0">
      <w:pPr>
        <w:shd w:val="clear" w:color="auto" w:fill="FFFFFF"/>
        <w:jc w:val="both"/>
        <w:rPr>
          <w:rFonts w:asciiTheme="majorHAnsi" w:hAnsiTheme="majorHAnsi" w:cstheme="majorHAnsi"/>
          <w:iCs/>
          <w:color w:val="000000"/>
        </w:rPr>
      </w:pPr>
      <w:r w:rsidRPr="00C35FD6">
        <w:rPr>
          <w:rFonts w:asciiTheme="majorHAnsi" w:hAnsiTheme="majorHAnsi" w:cstheme="majorHAnsi"/>
          <w:iCs/>
          <w:color w:val="000000"/>
        </w:rPr>
        <w:t>È</w:t>
      </w:r>
      <w:r w:rsidR="00C135A0" w:rsidRPr="00C35FD6">
        <w:rPr>
          <w:rFonts w:asciiTheme="majorHAnsi" w:hAnsiTheme="majorHAnsi" w:cstheme="majorHAnsi"/>
          <w:iCs/>
          <w:color w:val="000000"/>
        </w:rPr>
        <w:t xml:space="preserve"> sotto gli occhi di tutti l’impegno di scuole paritarie cattoliche che per anni si sono mantenute chiedendo rette simboliche, per sostenere la libertà di scelta di famiglie povere. Difatti il pluralismo compromesso nel centro sud, in particolare colpisce le scuole paritarie che chiedono rette ben al di sotto di 4mila euro, facendo un prezioso lavoro culturale ed educativo. Chiediamoci: quanto ha risparmiato lo Stato?</w:t>
      </w:r>
    </w:p>
    <w:p w:rsidR="00C135A0" w:rsidRPr="00C35FD6" w:rsidRDefault="00C135A0" w:rsidP="00C135A0">
      <w:pPr>
        <w:shd w:val="clear" w:color="auto" w:fill="FFFFFF"/>
        <w:jc w:val="both"/>
        <w:rPr>
          <w:rFonts w:asciiTheme="majorHAnsi" w:hAnsiTheme="majorHAnsi" w:cstheme="majorHAnsi"/>
          <w:iCs/>
          <w:color w:val="000000"/>
        </w:rPr>
      </w:pPr>
    </w:p>
    <w:p w:rsidR="00C135A0" w:rsidRPr="00C35FD6" w:rsidRDefault="00C135A0" w:rsidP="00C135A0">
      <w:pPr>
        <w:shd w:val="clear" w:color="auto" w:fill="FFFFFF"/>
        <w:jc w:val="both"/>
        <w:rPr>
          <w:rFonts w:asciiTheme="majorHAnsi" w:hAnsiTheme="majorHAnsi" w:cstheme="majorHAnsi"/>
          <w:iCs/>
          <w:color w:val="000000"/>
        </w:rPr>
      </w:pPr>
      <w:r w:rsidRPr="00C35FD6">
        <w:rPr>
          <w:rFonts w:asciiTheme="majorHAnsi" w:hAnsiTheme="majorHAnsi" w:cstheme="majorHAnsi"/>
          <w:iCs/>
          <w:color w:val="000000"/>
        </w:rPr>
        <w:t>Restano le scuole paritarie che debbono chiedere rette oltre i 5mila euro aprendo al rischio di una scuola pubblica statale per tutti e una pubblica paritaria accessibile a pochi.</w:t>
      </w:r>
    </w:p>
    <w:p w:rsidR="00C135A0" w:rsidRPr="00C35FD6" w:rsidRDefault="00C135A0" w:rsidP="00C135A0">
      <w:pPr>
        <w:shd w:val="clear" w:color="auto" w:fill="FFFFFF"/>
        <w:rPr>
          <w:rFonts w:asciiTheme="majorHAnsi" w:hAnsiTheme="majorHAnsi" w:cstheme="majorHAnsi"/>
          <w:iCs/>
          <w:color w:val="000000"/>
        </w:rPr>
      </w:pPr>
      <w:r w:rsidRPr="00C35FD6">
        <w:rPr>
          <w:rFonts w:asciiTheme="majorHAnsi" w:hAnsiTheme="majorHAnsi" w:cstheme="majorHAnsi"/>
          <w:iCs/>
          <w:color w:val="000000"/>
        </w:rPr>
        <w:t>Questa grave discriminazione che colpisce le fasce più deboli ci interpella.</w:t>
      </w:r>
    </w:p>
    <w:p w:rsidR="00C135A0" w:rsidRPr="00C35FD6" w:rsidRDefault="00C135A0" w:rsidP="00C135A0">
      <w:pPr>
        <w:shd w:val="clear" w:color="auto" w:fill="FFFFFF"/>
        <w:rPr>
          <w:rFonts w:asciiTheme="majorHAnsi" w:hAnsiTheme="majorHAnsi" w:cstheme="majorHAnsi"/>
          <w:iCs/>
          <w:color w:val="000000"/>
        </w:rPr>
      </w:pPr>
    </w:p>
    <w:p w:rsidR="00F830F5" w:rsidRPr="00C35FD6" w:rsidRDefault="00F830F5" w:rsidP="00F830F5">
      <w:pPr>
        <w:shd w:val="clear" w:color="auto" w:fill="FFFFFF"/>
        <w:jc w:val="both"/>
        <w:rPr>
          <w:rFonts w:asciiTheme="majorHAnsi" w:hAnsiTheme="majorHAnsi" w:cstheme="majorHAnsi"/>
          <w:iCs/>
          <w:color w:val="000000"/>
        </w:rPr>
      </w:pPr>
    </w:p>
    <w:p w:rsidR="00C135A0" w:rsidRPr="00C35FD6" w:rsidRDefault="00C135A0" w:rsidP="00C135A0">
      <w:pPr>
        <w:shd w:val="clear" w:color="auto" w:fill="FFFFFF"/>
        <w:jc w:val="both"/>
        <w:rPr>
          <w:rFonts w:asciiTheme="majorHAnsi" w:hAnsiTheme="majorHAnsi" w:cstheme="majorHAnsi"/>
          <w:iCs/>
          <w:color w:val="000000"/>
        </w:rPr>
      </w:pPr>
      <w:r w:rsidRPr="00C35FD6">
        <w:rPr>
          <w:rFonts w:asciiTheme="majorHAnsi" w:hAnsiTheme="majorHAnsi" w:cstheme="majorHAnsi"/>
          <w:iCs/>
          <w:color w:val="000000"/>
        </w:rPr>
        <w:t>Restano le scuole paritarie che debbono chiedere rette oltre i 5mila euro aprendo al rischio di una scuola pubblica statale per tutti e una pubblica paritaria accessibile a pochi.</w:t>
      </w:r>
    </w:p>
    <w:p w:rsidR="00C135A0" w:rsidRPr="00C35FD6" w:rsidRDefault="00C135A0" w:rsidP="00C135A0">
      <w:pPr>
        <w:shd w:val="clear" w:color="auto" w:fill="FFFFFF"/>
        <w:rPr>
          <w:rFonts w:asciiTheme="majorHAnsi" w:hAnsiTheme="majorHAnsi" w:cstheme="majorHAnsi"/>
          <w:iCs/>
          <w:color w:val="000000"/>
        </w:rPr>
      </w:pPr>
      <w:r w:rsidRPr="00C35FD6">
        <w:rPr>
          <w:rFonts w:asciiTheme="majorHAnsi" w:hAnsiTheme="majorHAnsi" w:cstheme="majorHAnsi"/>
          <w:iCs/>
          <w:color w:val="000000"/>
        </w:rPr>
        <w:t>Questa grave discriminazione che colpisce le fasce più deboli ci interpella.</w:t>
      </w:r>
    </w:p>
    <w:p w:rsidR="00C135A0" w:rsidRPr="00C35FD6" w:rsidRDefault="00C135A0" w:rsidP="00C135A0">
      <w:pPr>
        <w:shd w:val="clear" w:color="auto" w:fill="FFFFFF"/>
        <w:rPr>
          <w:rFonts w:asciiTheme="majorHAnsi" w:hAnsiTheme="majorHAnsi" w:cstheme="majorHAnsi"/>
          <w:iCs/>
          <w:color w:val="000000"/>
        </w:rPr>
      </w:pPr>
    </w:p>
    <w:p w:rsidR="00C135A0" w:rsidRPr="00C35FD6" w:rsidRDefault="00C135A0" w:rsidP="00C135A0">
      <w:pPr>
        <w:shd w:val="clear" w:color="auto" w:fill="FFFFFF"/>
        <w:jc w:val="both"/>
        <w:rPr>
          <w:rFonts w:asciiTheme="majorHAnsi" w:hAnsiTheme="majorHAnsi" w:cstheme="majorHAnsi"/>
          <w:b/>
          <w:iCs/>
          <w:color w:val="000000"/>
        </w:rPr>
      </w:pPr>
      <w:r w:rsidRPr="00C35FD6">
        <w:rPr>
          <w:rFonts w:asciiTheme="majorHAnsi" w:hAnsiTheme="majorHAnsi" w:cstheme="majorHAnsi"/>
          <w:b/>
          <w:iCs/>
          <w:color w:val="000000"/>
        </w:rPr>
        <w:t>In sintesi il cuore della questione è “Possiamo assistere inerti alla circostanza che il ricco sceglie fra una scuola pubblica statale e pubblica paritaria, mentre il povero obtorto collo deve accontentarsi?”</w:t>
      </w:r>
    </w:p>
    <w:p w:rsidR="00C135A0" w:rsidRPr="00C35FD6" w:rsidRDefault="00C135A0" w:rsidP="00C135A0">
      <w:pPr>
        <w:shd w:val="clear" w:color="auto" w:fill="FFFFFF"/>
        <w:jc w:val="both"/>
        <w:rPr>
          <w:rFonts w:asciiTheme="majorHAnsi" w:hAnsiTheme="majorHAnsi" w:cstheme="majorHAnsi"/>
          <w:b/>
          <w:iCs/>
          <w:color w:val="000000"/>
        </w:rPr>
      </w:pPr>
      <w:r w:rsidRPr="00C35FD6">
        <w:rPr>
          <w:rFonts w:asciiTheme="majorHAnsi" w:hAnsiTheme="majorHAnsi" w:cstheme="majorHAnsi"/>
          <w:b/>
          <w:iCs/>
          <w:color w:val="000000"/>
        </w:rPr>
        <w:t xml:space="preserve">Come avviene in tutti i Paesi d’Europa si garantisca anche in Italia alla famiglia di poter esercitare la propria responsabilità educativa in modo consapevole e libero senza alcuna discriminazione economica. E ciò è possibile investendo in un sistema scolastico di qualità e </w:t>
      </w:r>
      <w:r w:rsidRPr="00C35FD6">
        <w:rPr>
          <w:rFonts w:asciiTheme="majorHAnsi" w:hAnsiTheme="majorHAnsi" w:cstheme="majorHAnsi"/>
          <w:b/>
          <w:iCs/>
          <w:color w:val="000000"/>
        </w:rPr>
        <w:lastRenderedPageBreak/>
        <w:t>meno iniquo, spendendo meglio e non di più. Autorevoli studi economici confermano questa linea.</w:t>
      </w:r>
    </w:p>
    <w:p w:rsidR="00A01B1B" w:rsidRPr="00C35FD6" w:rsidRDefault="00A01B1B" w:rsidP="005220E2">
      <w:pPr>
        <w:shd w:val="clear" w:color="auto" w:fill="FFFFFF"/>
        <w:jc w:val="both"/>
        <w:rPr>
          <w:rFonts w:asciiTheme="majorHAnsi" w:eastAsia="Times New Roman" w:hAnsiTheme="majorHAnsi" w:cstheme="majorHAnsi"/>
          <w:iCs/>
          <w:color w:val="000000"/>
          <w:lang w:eastAsia="it-IT"/>
        </w:rPr>
      </w:pPr>
    </w:p>
    <w:p w:rsidR="00C946C2" w:rsidRPr="00C35FD6" w:rsidRDefault="00A01B1B" w:rsidP="00A01B1B">
      <w:pPr>
        <w:shd w:val="clear" w:color="auto" w:fill="FFFFFF"/>
        <w:jc w:val="both"/>
        <w:rPr>
          <w:rFonts w:asciiTheme="majorHAnsi" w:eastAsia="Times New Roman" w:hAnsiTheme="majorHAnsi" w:cstheme="majorHAnsi"/>
          <w:iCs/>
          <w:color w:val="000000"/>
          <w:lang w:eastAsia="it-IT"/>
        </w:rPr>
      </w:pPr>
      <w:r w:rsidRPr="00C35FD6">
        <w:rPr>
          <w:rFonts w:asciiTheme="majorHAnsi" w:eastAsia="Times New Roman" w:hAnsiTheme="majorHAnsi" w:cstheme="majorHAnsi"/>
          <w:iCs/>
          <w:color w:val="000000"/>
          <w:lang w:eastAsia="it-IT"/>
        </w:rPr>
        <w:t>In continuità con la riflessione di questi anni i</w:t>
      </w:r>
      <w:r w:rsidR="00281DDB" w:rsidRPr="00C35FD6">
        <w:rPr>
          <w:rFonts w:asciiTheme="majorHAnsi" w:hAnsiTheme="majorHAnsi" w:cstheme="majorHAnsi"/>
          <w:kern w:val="36"/>
        </w:rPr>
        <w:t xml:space="preserve">l </w:t>
      </w:r>
      <w:r w:rsidR="007A2DD1" w:rsidRPr="00C35FD6">
        <w:rPr>
          <w:rFonts w:asciiTheme="majorHAnsi" w:hAnsiTheme="majorHAnsi" w:cstheme="majorHAnsi"/>
          <w:kern w:val="36"/>
        </w:rPr>
        <w:t>Seminario</w:t>
      </w:r>
      <w:r w:rsidR="00D80AAC" w:rsidRPr="00C35FD6">
        <w:rPr>
          <w:rFonts w:asciiTheme="majorHAnsi" w:hAnsiTheme="majorHAnsi" w:cstheme="majorHAnsi"/>
          <w:kern w:val="36"/>
        </w:rPr>
        <w:t>,</w:t>
      </w:r>
      <w:r w:rsidR="00281DDB" w:rsidRPr="00C35FD6">
        <w:rPr>
          <w:rFonts w:asciiTheme="majorHAnsi" w:hAnsiTheme="majorHAnsi" w:cstheme="majorHAnsi"/>
          <w:kern w:val="36"/>
        </w:rPr>
        <w:t xml:space="preserve"> </w:t>
      </w:r>
      <w:r w:rsidR="00D80AAC" w:rsidRPr="00C35FD6">
        <w:rPr>
          <w:rFonts w:asciiTheme="majorHAnsi" w:hAnsiTheme="majorHAnsi" w:cstheme="majorHAnsi"/>
          <w:kern w:val="36"/>
        </w:rPr>
        <w:t xml:space="preserve">che </w:t>
      </w:r>
      <w:r w:rsidR="00281DDB" w:rsidRPr="00C35FD6">
        <w:rPr>
          <w:rFonts w:asciiTheme="majorHAnsi" w:hAnsiTheme="majorHAnsi" w:cstheme="majorHAnsi"/>
          <w:kern w:val="36"/>
        </w:rPr>
        <w:t xml:space="preserve">propone </w:t>
      </w:r>
      <w:r w:rsidR="00D80AAC" w:rsidRPr="00C35FD6">
        <w:rPr>
          <w:rFonts w:asciiTheme="majorHAnsi" w:hAnsiTheme="majorHAnsi" w:cstheme="majorHAnsi"/>
          <w:kern w:val="36"/>
        </w:rPr>
        <w:t>come tema lo stesso documento</w:t>
      </w:r>
      <w:r w:rsidR="00864C45" w:rsidRPr="00C35FD6">
        <w:rPr>
          <w:rFonts w:asciiTheme="majorHAnsi" w:hAnsiTheme="majorHAnsi" w:cstheme="majorHAnsi"/>
          <w:kern w:val="36"/>
        </w:rPr>
        <w:t xml:space="preserve"> </w:t>
      </w:r>
      <w:r w:rsidR="005D2CF3" w:rsidRPr="00C35FD6">
        <w:rPr>
          <w:rFonts w:asciiTheme="majorHAnsi" w:hAnsiTheme="majorHAnsi" w:cstheme="majorHAnsi"/>
          <w:kern w:val="36"/>
        </w:rPr>
        <w:t xml:space="preserve">del </w:t>
      </w:r>
      <w:r w:rsidR="005D2CF3" w:rsidRPr="00C35FD6">
        <w:rPr>
          <w:rFonts w:asciiTheme="majorHAnsi" w:eastAsia="Times New Roman" w:hAnsiTheme="majorHAnsi" w:cstheme="majorHAnsi"/>
          <w:bCs/>
          <w:kern w:val="36"/>
          <w:lang w:eastAsia="it-IT"/>
        </w:rPr>
        <w:t>CNSC</w:t>
      </w:r>
      <w:r w:rsidR="00864C45" w:rsidRPr="00C35FD6">
        <w:rPr>
          <w:rFonts w:asciiTheme="majorHAnsi" w:hAnsiTheme="majorHAnsi" w:cstheme="majorHAnsi"/>
          <w:kern w:val="36"/>
        </w:rPr>
        <w:t xml:space="preserve">: </w:t>
      </w:r>
      <w:r w:rsidR="00864C45" w:rsidRPr="00C35FD6">
        <w:rPr>
          <w:rFonts w:asciiTheme="majorHAnsi" w:eastAsia="Times New Roman" w:hAnsiTheme="majorHAnsi" w:cstheme="majorHAnsi"/>
          <w:bCs/>
          <w:i/>
          <w:color w:val="000000"/>
          <w:kern w:val="36"/>
          <w:lang w:eastAsia="it-IT"/>
        </w:rPr>
        <w:t>Autonomia, parità e libertà di scelta educativa in Italia e in Europa</w:t>
      </w:r>
      <w:r w:rsidR="00D80AAC" w:rsidRPr="00C35FD6">
        <w:rPr>
          <w:rFonts w:asciiTheme="majorHAnsi" w:eastAsia="Times New Roman" w:hAnsiTheme="majorHAnsi" w:cstheme="majorHAnsi"/>
          <w:bCs/>
          <w:i/>
          <w:color w:val="000000"/>
          <w:kern w:val="36"/>
          <w:lang w:eastAsia="it-IT"/>
        </w:rPr>
        <w:t xml:space="preserve">, </w:t>
      </w:r>
      <w:r w:rsidR="00281DDB" w:rsidRPr="00C35FD6">
        <w:rPr>
          <w:rFonts w:asciiTheme="majorHAnsi" w:eastAsia="Times New Roman" w:hAnsiTheme="majorHAnsi" w:cstheme="majorHAnsi"/>
          <w:bCs/>
          <w:color w:val="000000"/>
          <w:kern w:val="36"/>
          <w:lang w:eastAsia="it-IT"/>
        </w:rPr>
        <w:t xml:space="preserve">ha ottenuto il patrocinio </w:t>
      </w:r>
      <w:r w:rsidR="00D80AAC" w:rsidRPr="00C35FD6">
        <w:rPr>
          <w:rFonts w:asciiTheme="majorHAnsi" w:eastAsia="Times New Roman" w:hAnsiTheme="majorHAnsi" w:cstheme="majorHAnsi"/>
          <w:bCs/>
          <w:color w:val="000000"/>
          <w:kern w:val="36"/>
          <w:lang w:eastAsia="it-IT"/>
        </w:rPr>
        <w:t>dell’</w:t>
      </w:r>
      <w:r w:rsidR="00281DDB" w:rsidRPr="00C35FD6">
        <w:rPr>
          <w:rFonts w:asciiTheme="majorHAnsi" w:eastAsia="Times New Roman" w:hAnsiTheme="majorHAnsi" w:cstheme="majorHAnsi"/>
          <w:bCs/>
          <w:color w:val="000000"/>
          <w:kern w:val="36"/>
          <w:lang w:eastAsia="it-IT"/>
        </w:rPr>
        <w:t>Ufficio nazionale per l’Educazione, la Scuola e l’Università della C</w:t>
      </w:r>
      <w:r w:rsidR="00E07469" w:rsidRPr="00C35FD6">
        <w:rPr>
          <w:rFonts w:asciiTheme="majorHAnsi" w:eastAsia="Times New Roman" w:hAnsiTheme="majorHAnsi" w:cstheme="majorHAnsi"/>
          <w:bCs/>
          <w:color w:val="000000"/>
          <w:kern w:val="36"/>
          <w:lang w:eastAsia="it-IT"/>
        </w:rPr>
        <w:t>ei, e</w:t>
      </w:r>
      <w:r w:rsidR="00A36DA8" w:rsidRPr="00C35FD6">
        <w:rPr>
          <w:rFonts w:asciiTheme="majorHAnsi" w:eastAsia="Times New Roman" w:hAnsiTheme="majorHAnsi" w:cstheme="majorHAnsi"/>
          <w:bCs/>
          <w:color w:val="000000"/>
          <w:kern w:val="36"/>
          <w:lang w:eastAsia="it-IT"/>
        </w:rPr>
        <w:t xml:space="preserve"> del Senato della Repubblica.</w:t>
      </w:r>
    </w:p>
    <w:p w:rsidR="00281DDB" w:rsidRPr="00C35FD6" w:rsidRDefault="0073277D" w:rsidP="00583014">
      <w:pPr>
        <w:jc w:val="both"/>
        <w:rPr>
          <w:rFonts w:asciiTheme="majorHAnsi" w:eastAsia="Times New Roman" w:hAnsiTheme="majorHAnsi" w:cstheme="majorHAnsi"/>
          <w:bCs/>
          <w:kern w:val="36"/>
          <w:lang w:eastAsia="it-IT"/>
        </w:rPr>
      </w:pPr>
      <w:r w:rsidRPr="00C35FD6">
        <w:rPr>
          <w:rFonts w:asciiTheme="majorHAnsi" w:eastAsia="Times New Roman" w:hAnsiTheme="majorHAnsi" w:cstheme="majorHAnsi"/>
          <w:bCs/>
          <w:kern w:val="36"/>
          <w:lang w:eastAsia="it-IT"/>
        </w:rPr>
        <w:t xml:space="preserve">Saranno presenti personalità ai massimi livelli, </w:t>
      </w:r>
      <w:r w:rsidR="005E57BE" w:rsidRPr="00C35FD6">
        <w:rPr>
          <w:rFonts w:asciiTheme="majorHAnsi" w:eastAsia="Times New Roman" w:hAnsiTheme="majorHAnsi" w:cstheme="majorHAnsi"/>
          <w:bCs/>
          <w:kern w:val="36"/>
          <w:lang w:eastAsia="it-IT"/>
        </w:rPr>
        <w:t xml:space="preserve">in particolare </w:t>
      </w:r>
      <w:r w:rsidR="00281DDB" w:rsidRPr="00C35FD6">
        <w:rPr>
          <w:rFonts w:asciiTheme="majorHAnsi" w:eastAsia="Times New Roman" w:hAnsiTheme="majorHAnsi" w:cstheme="majorHAnsi"/>
          <w:bCs/>
          <w:kern w:val="36"/>
          <w:lang w:eastAsia="it-IT"/>
        </w:rPr>
        <w:t>la Presidente del Senato Maria Elisabetta Albert</w:t>
      </w:r>
      <w:r w:rsidR="002751D3" w:rsidRPr="00C35FD6">
        <w:rPr>
          <w:rFonts w:asciiTheme="majorHAnsi" w:eastAsia="Times New Roman" w:hAnsiTheme="majorHAnsi" w:cstheme="majorHAnsi"/>
          <w:bCs/>
          <w:kern w:val="36"/>
          <w:lang w:eastAsia="it-IT"/>
        </w:rPr>
        <w:t>i</w:t>
      </w:r>
      <w:r w:rsidR="00281DDB" w:rsidRPr="00C35FD6">
        <w:rPr>
          <w:rFonts w:asciiTheme="majorHAnsi" w:eastAsia="Times New Roman" w:hAnsiTheme="majorHAnsi" w:cstheme="majorHAnsi"/>
          <w:bCs/>
          <w:kern w:val="36"/>
          <w:lang w:eastAsia="it-IT"/>
        </w:rPr>
        <w:t xml:space="preserve"> </w:t>
      </w:r>
      <w:r w:rsidR="00A36DA8" w:rsidRPr="00C35FD6">
        <w:rPr>
          <w:rFonts w:asciiTheme="majorHAnsi" w:eastAsia="Times New Roman" w:hAnsiTheme="majorHAnsi" w:cstheme="majorHAnsi"/>
          <w:bCs/>
          <w:kern w:val="36"/>
          <w:lang w:eastAsia="it-IT"/>
        </w:rPr>
        <w:t>CASELLATI</w:t>
      </w:r>
      <w:r w:rsidR="00281DDB" w:rsidRPr="00C35FD6">
        <w:rPr>
          <w:rFonts w:asciiTheme="majorHAnsi" w:eastAsia="Times New Roman" w:hAnsiTheme="majorHAnsi" w:cstheme="majorHAnsi"/>
          <w:b/>
          <w:bCs/>
          <w:kern w:val="36"/>
          <w:lang w:eastAsia="it-IT"/>
        </w:rPr>
        <w:t xml:space="preserve"> </w:t>
      </w:r>
      <w:r w:rsidR="00281DDB" w:rsidRPr="00C35FD6">
        <w:rPr>
          <w:rFonts w:asciiTheme="majorHAnsi" w:eastAsia="Times New Roman" w:hAnsiTheme="majorHAnsi" w:cstheme="majorHAnsi"/>
          <w:bCs/>
          <w:kern w:val="36"/>
          <w:lang w:eastAsia="it-IT"/>
        </w:rPr>
        <w:t>e</w:t>
      </w:r>
      <w:r w:rsidR="00281DDB" w:rsidRPr="00C35FD6">
        <w:rPr>
          <w:rFonts w:asciiTheme="majorHAnsi" w:eastAsia="Times New Roman" w:hAnsiTheme="majorHAnsi" w:cstheme="majorHAnsi"/>
          <w:b/>
          <w:bCs/>
          <w:kern w:val="36"/>
          <w:lang w:eastAsia="it-IT"/>
        </w:rPr>
        <w:t xml:space="preserve"> </w:t>
      </w:r>
      <w:r w:rsidR="00281DDB" w:rsidRPr="00C35FD6">
        <w:rPr>
          <w:rFonts w:asciiTheme="majorHAnsi" w:eastAsia="Times New Roman" w:hAnsiTheme="majorHAnsi" w:cstheme="majorHAnsi"/>
          <w:bCs/>
          <w:kern w:val="36"/>
          <w:lang w:eastAsia="it-IT"/>
        </w:rPr>
        <w:t xml:space="preserve">Sua Em. il Card. Gualtiero </w:t>
      </w:r>
      <w:r w:rsidR="00A36DA8" w:rsidRPr="00C35FD6">
        <w:rPr>
          <w:rFonts w:asciiTheme="majorHAnsi" w:eastAsia="Times New Roman" w:hAnsiTheme="majorHAnsi" w:cstheme="majorHAnsi"/>
          <w:bCs/>
          <w:kern w:val="36"/>
          <w:lang w:eastAsia="it-IT"/>
        </w:rPr>
        <w:t>BASSETTI</w:t>
      </w:r>
      <w:r w:rsidR="00D80AAC" w:rsidRPr="00C35FD6">
        <w:rPr>
          <w:rFonts w:asciiTheme="majorHAnsi" w:eastAsia="Times New Roman" w:hAnsiTheme="majorHAnsi" w:cstheme="majorHAnsi"/>
          <w:bCs/>
          <w:kern w:val="36"/>
          <w:lang w:eastAsia="it-IT"/>
        </w:rPr>
        <w:t>, Presidente della C</w:t>
      </w:r>
      <w:r w:rsidR="005D2CF3" w:rsidRPr="00C35FD6">
        <w:rPr>
          <w:rFonts w:asciiTheme="majorHAnsi" w:eastAsia="Times New Roman" w:hAnsiTheme="majorHAnsi" w:cstheme="majorHAnsi"/>
          <w:bCs/>
          <w:kern w:val="36"/>
          <w:lang w:eastAsia="it-IT"/>
        </w:rPr>
        <w:t>onferenza Episcopale Italiana.</w:t>
      </w:r>
    </w:p>
    <w:p w:rsidR="00281DDB" w:rsidRPr="00C35FD6" w:rsidRDefault="00281DDB" w:rsidP="00583014">
      <w:pPr>
        <w:shd w:val="clear" w:color="auto" w:fill="FFFFFF"/>
        <w:tabs>
          <w:tab w:val="left" w:pos="7380"/>
        </w:tabs>
        <w:spacing w:before="161" w:after="161" w:line="288" w:lineRule="atLeast"/>
        <w:jc w:val="both"/>
        <w:outlineLvl w:val="0"/>
        <w:rPr>
          <w:rFonts w:asciiTheme="majorHAnsi" w:eastAsia="Times New Roman" w:hAnsiTheme="majorHAnsi" w:cstheme="majorHAnsi"/>
          <w:b/>
          <w:bCs/>
          <w:kern w:val="36"/>
          <w:lang w:eastAsia="it-IT"/>
        </w:rPr>
      </w:pPr>
      <w:r w:rsidRPr="00C35FD6">
        <w:rPr>
          <w:rFonts w:asciiTheme="majorHAnsi" w:eastAsia="Times New Roman" w:hAnsiTheme="majorHAnsi" w:cstheme="majorHAnsi"/>
          <w:bCs/>
          <w:kern w:val="36"/>
          <w:lang w:eastAsia="it-IT"/>
        </w:rPr>
        <w:t xml:space="preserve">Le </w:t>
      </w:r>
      <w:r w:rsidRPr="00C35FD6">
        <w:rPr>
          <w:rFonts w:asciiTheme="majorHAnsi" w:eastAsia="Times New Roman" w:hAnsiTheme="majorHAnsi" w:cstheme="majorHAnsi"/>
          <w:bCs/>
          <w:iCs/>
          <w:kern w:val="36"/>
          <w:lang w:eastAsia="it-IT"/>
        </w:rPr>
        <w:t>direzioni dell’U.S.M.I. e della C.I.S.M</w:t>
      </w:r>
      <w:r w:rsidRPr="00C35FD6">
        <w:rPr>
          <w:rFonts w:asciiTheme="majorHAnsi" w:eastAsia="Times New Roman" w:hAnsiTheme="majorHAnsi" w:cstheme="majorHAnsi"/>
          <w:bCs/>
          <w:kern w:val="36"/>
          <w:lang w:eastAsia="it-IT"/>
        </w:rPr>
        <w:t xml:space="preserve">. interverranno nelle persone di suor </w:t>
      </w:r>
      <w:r w:rsidRPr="00C35FD6">
        <w:rPr>
          <w:rFonts w:asciiTheme="majorHAnsi" w:eastAsia="Times New Roman" w:hAnsiTheme="majorHAnsi" w:cstheme="majorHAnsi"/>
          <w:bCs/>
          <w:iCs/>
          <w:kern w:val="36"/>
          <w:lang w:eastAsia="it-IT"/>
        </w:rPr>
        <w:t xml:space="preserve">Nicla </w:t>
      </w:r>
      <w:r w:rsidR="00A36DA8" w:rsidRPr="00C35FD6">
        <w:rPr>
          <w:rFonts w:asciiTheme="majorHAnsi" w:eastAsia="Times New Roman" w:hAnsiTheme="majorHAnsi" w:cstheme="majorHAnsi"/>
          <w:bCs/>
          <w:iCs/>
          <w:kern w:val="36"/>
          <w:lang w:eastAsia="it-IT"/>
        </w:rPr>
        <w:t>SPEZZATI</w:t>
      </w:r>
      <w:r w:rsidRPr="00C35FD6">
        <w:rPr>
          <w:rFonts w:asciiTheme="majorHAnsi" w:eastAsia="Times New Roman" w:hAnsiTheme="majorHAnsi" w:cstheme="majorHAnsi"/>
          <w:bCs/>
          <w:iCs/>
          <w:kern w:val="36"/>
          <w:lang w:eastAsia="it-IT"/>
        </w:rPr>
        <w:t>, già</w:t>
      </w:r>
      <w:r w:rsidRPr="00C35FD6">
        <w:rPr>
          <w:rFonts w:asciiTheme="majorHAnsi" w:eastAsia="Times New Roman" w:hAnsiTheme="majorHAnsi" w:cstheme="majorHAnsi"/>
          <w:bCs/>
          <w:kern w:val="36"/>
          <w:lang w:eastAsia="it-IT"/>
        </w:rPr>
        <w:t xml:space="preserve"> Sottosegretaria al Dicastero per la Vita Consacrata, e del presidente CISM, Padre Luigi </w:t>
      </w:r>
      <w:r w:rsidR="00A36DA8" w:rsidRPr="00C35FD6">
        <w:rPr>
          <w:rFonts w:asciiTheme="majorHAnsi" w:eastAsia="Times New Roman" w:hAnsiTheme="majorHAnsi" w:cstheme="majorHAnsi"/>
          <w:bCs/>
          <w:kern w:val="36"/>
          <w:lang w:eastAsia="it-IT"/>
        </w:rPr>
        <w:t>GAETANI</w:t>
      </w:r>
      <w:r w:rsidRPr="00C35FD6">
        <w:rPr>
          <w:rFonts w:asciiTheme="majorHAnsi" w:eastAsia="Times New Roman" w:hAnsiTheme="majorHAnsi" w:cstheme="majorHAnsi"/>
          <w:bCs/>
          <w:kern w:val="36"/>
          <w:lang w:eastAsia="it-IT"/>
        </w:rPr>
        <w:t>.</w:t>
      </w:r>
    </w:p>
    <w:p w:rsidR="00281DDB" w:rsidRPr="00C35FD6" w:rsidRDefault="0073277D" w:rsidP="00583014">
      <w:pPr>
        <w:shd w:val="clear" w:color="auto" w:fill="FFFFFF"/>
        <w:tabs>
          <w:tab w:val="left" w:pos="7380"/>
        </w:tabs>
        <w:spacing w:before="161" w:after="161" w:line="288" w:lineRule="atLeast"/>
        <w:jc w:val="both"/>
        <w:outlineLvl w:val="0"/>
        <w:rPr>
          <w:rFonts w:asciiTheme="majorHAnsi" w:eastAsia="Times New Roman" w:hAnsiTheme="majorHAnsi" w:cstheme="majorHAnsi"/>
          <w:bCs/>
          <w:kern w:val="36"/>
          <w:lang w:eastAsia="it-IT"/>
        </w:rPr>
      </w:pPr>
      <w:r w:rsidRPr="00C35FD6">
        <w:rPr>
          <w:rFonts w:asciiTheme="majorHAnsi" w:eastAsia="Times New Roman" w:hAnsiTheme="majorHAnsi" w:cstheme="majorHAnsi"/>
          <w:bCs/>
          <w:kern w:val="36"/>
          <w:lang w:eastAsia="it-IT"/>
        </w:rPr>
        <w:t>Dopo gli interventi delle personalità</w:t>
      </w:r>
      <w:r w:rsidR="002751D3" w:rsidRPr="00C35FD6">
        <w:rPr>
          <w:rFonts w:asciiTheme="majorHAnsi" w:eastAsia="Times New Roman" w:hAnsiTheme="majorHAnsi" w:cstheme="majorHAnsi"/>
          <w:bCs/>
          <w:kern w:val="36"/>
          <w:lang w:eastAsia="it-IT"/>
        </w:rPr>
        <w:t xml:space="preserve"> presenti</w:t>
      </w:r>
      <w:r w:rsidRPr="00C35FD6">
        <w:rPr>
          <w:rFonts w:asciiTheme="majorHAnsi" w:eastAsia="Times New Roman" w:hAnsiTheme="majorHAnsi" w:cstheme="majorHAnsi"/>
          <w:bCs/>
          <w:kern w:val="36"/>
          <w:lang w:eastAsia="it-IT"/>
        </w:rPr>
        <w:t xml:space="preserve">, la seconda sessione dei lavori, </w:t>
      </w:r>
      <w:r w:rsidR="00281DDB" w:rsidRPr="00C35FD6">
        <w:rPr>
          <w:rFonts w:asciiTheme="majorHAnsi" w:eastAsia="Times New Roman" w:hAnsiTheme="majorHAnsi" w:cstheme="majorHAnsi"/>
          <w:bCs/>
          <w:kern w:val="36"/>
          <w:lang w:eastAsia="it-IT"/>
        </w:rPr>
        <w:t xml:space="preserve">moderati dalla giornalista Lorena </w:t>
      </w:r>
      <w:r w:rsidRPr="00C35FD6">
        <w:rPr>
          <w:rFonts w:asciiTheme="majorHAnsi" w:eastAsia="Times New Roman" w:hAnsiTheme="majorHAnsi" w:cstheme="majorHAnsi"/>
          <w:bCs/>
          <w:kern w:val="36"/>
          <w:lang w:eastAsia="it-IT"/>
        </w:rPr>
        <w:t>Bianchetti</w:t>
      </w:r>
      <w:r w:rsidR="00281DDB" w:rsidRPr="00C35FD6">
        <w:rPr>
          <w:rFonts w:asciiTheme="majorHAnsi" w:eastAsia="Times New Roman" w:hAnsiTheme="majorHAnsi" w:cstheme="majorHAnsi"/>
          <w:bCs/>
          <w:kern w:val="36"/>
          <w:lang w:eastAsia="it-IT"/>
        </w:rPr>
        <w:t>, proceder</w:t>
      </w:r>
      <w:r w:rsidR="00D80AAC" w:rsidRPr="00C35FD6">
        <w:rPr>
          <w:rFonts w:asciiTheme="majorHAnsi" w:eastAsia="Times New Roman" w:hAnsiTheme="majorHAnsi" w:cstheme="majorHAnsi"/>
          <w:bCs/>
          <w:kern w:val="36"/>
          <w:lang w:eastAsia="it-IT"/>
        </w:rPr>
        <w:t>à</w:t>
      </w:r>
      <w:r w:rsidR="00281DDB" w:rsidRPr="00C35FD6">
        <w:rPr>
          <w:rFonts w:asciiTheme="majorHAnsi" w:eastAsia="Times New Roman" w:hAnsiTheme="majorHAnsi" w:cstheme="majorHAnsi"/>
          <w:bCs/>
          <w:kern w:val="36"/>
          <w:lang w:eastAsia="it-IT"/>
        </w:rPr>
        <w:t xml:space="preserve"> con </w:t>
      </w:r>
      <w:r w:rsidRPr="00C35FD6">
        <w:rPr>
          <w:rFonts w:asciiTheme="majorHAnsi" w:eastAsia="Times New Roman" w:hAnsiTheme="majorHAnsi" w:cstheme="majorHAnsi"/>
          <w:bCs/>
          <w:kern w:val="36"/>
          <w:lang w:eastAsia="it-IT"/>
        </w:rPr>
        <w:t>i</w:t>
      </w:r>
      <w:r w:rsidR="00E07469" w:rsidRPr="00C35FD6">
        <w:rPr>
          <w:rFonts w:asciiTheme="majorHAnsi" w:eastAsia="Times New Roman" w:hAnsiTheme="majorHAnsi" w:cstheme="majorHAnsi"/>
          <w:bCs/>
          <w:kern w:val="36"/>
          <w:lang w:eastAsia="it-IT"/>
        </w:rPr>
        <w:t>l c</w:t>
      </w:r>
      <w:r w:rsidR="00281DDB" w:rsidRPr="00C35FD6">
        <w:rPr>
          <w:rFonts w:asciiTheme="majorHAnsi" w:eastAsia="Times New Roman" w:hAnsiTheme="majorHAnsi" w:cstheme="majorHAnsi"/>
          <w:bCs/>
          <w:kern w:val="36"/>
          <w:lang w:eastAsia="it-IT"/>
        </w:rPr>
        <w:t xml:space="preserve">onfronto </w:t>
      </w:r>
      <w:r w:rsidRPr="00C35FD6">
        <w:rPr>
          <w:rFonts w:asciiTheme="majorHAnsi" w:eastAsia="Times New Roman" w:hAnsiTheme="majorHAnsi" w:cstheme="majorHAnsi"/>
          <w:bCs/>
          <w:kern w:val="36"/>
          <w:lang w:eastAsia="it-IT"/>
        </w:rPr>
        <w:t>tra</w:t>
      </w:r>
      <w:r w:rsidR="00281DDB" w:rsidRPr="00C35FD6">
        <w:rPr>
          <w:rFonts w:asciiTheme="majorHAnsi" w:eastAsia="Times New Roman" w:hAnsiTheme="majorHAnsi" w:cstheme="majorHAnsi"/>
          <w:bCs/>
          <w:kern w:val="36"/>
          <w:lang w:eastAsia="it-IT"/>
        </w:rPr>
        <w:t xml:space="preserve"> i componenti </w:t>
      </w:r>
      <w:r w:rsidR="00D80AAC" w:rsidRPr="00C35FD6">
        <w:rPr>
          <w:rFonts w:asciiTheme="majorHAnsi" w:eastAsia="Times New Roman" w:hAnsiTheme="majorHAnsi" w:cstheme="majorHAnsi"/>
          <w:bCs/>
          <w:kern w:val="36"/>
          <w:lang w:eastAsia="it-IT"/>
        </w:rPr>
        <w:t>del</w:t>
      </w:r>
      <w:r w:rsidR="00281DDB" w:rsidRPr="00C35FD6">
        <w:rPr>
          <w:rFonts w:asciiTheme="majorHAnsi" w:eastAsia="Times New Roman" w:hAnsiTheme="majorHAnsi" w:cstheme="majorHAnsi"/>
          <w:bCs/>
          <w:kern w:val="36"/>
          <w:lang w:eastAsia="it-IT"/>
        </w:rPr>
        <w:t xml:space="preserve">le realtà che hanno redatto il </w:t>
      </w:r>
      <w:r w:rsidRPr="00C35FD6">
        <w:rPr>
          <w:rFonts w:asciiTheme="majorHAnsi" w:eastAsia="Times New Roman" w:hAnsiTheme="majorHAnsi" w:cstheme="majorHAnsi"/>
          <w:bCs/>
          <w:kern w:val="36"/>
          <w:lang w:eastAsia="it-IT"/>
        </w:rPr>
        <w:t xml:space="preserve">citato </w:t>
      </w:r>
      <w:r w:rsidR="00281DDB" w:rsidRPr="00C35FD6">
        <w:rPr>
          <w:rFonts w:asciiTheme="majorHAnsi" w:eastAsia="Times New Roman" w:hAnsiTheme="majorHAnsi" w:cstheme="majorHAnsi"/>
          <w:bCs/>
          <w:kern w:val="36"/>
          <w:lang w:eastAsia="it-IT"/>
        </w:rPr>
        <w:t>documento</w:t>
      </w:r>
      <w:r w:rsidRPr="00C35FD6">
        <w:rPr>
          <w:rFonts w:asciiTheme="majorHAnsi" w:eastAsia="Times New Roman" w:hAnsiTheme="majorHAnsi" w:cstheme="majorHAnsi"/>
          <w:bCs/>
          <w:kern w:val="36"/>
          <w:lang w:eastAsia="it-IT"/>
        </w:rPr>
        <w:t xml:space="preserve">: </w:t>
      </w:r>
      <w:r w:rsidR="00281DDB" w:rsidRPr="00C35FD6">
        <w:rPr>
          <w:rFonts w:asciiTheme="majorHAnsi" w:eastAsia="Times New Roman" w:hAnsiTheme="majorHAnsi" w:cstheme="majorHAnsi"/>
          <w:bCs/>
          <w:kern w:val="36"/>
          <w:lang w:eastAsia="it-IT"/>
        </w:rPr>
        <w:t>CISM, USMI, FISM, FIDAE, AGIDAE, CONFAP, AGESC, CdO-FOE.</w:t>
      </w:r>
    </w:p>
    <w:p w:rsidR="00D80AAC" w:rsidRPr="00C35FD6" w:rsidRDefault="00D80AAC" w:rsidP="00D80AAC">
      <w:pPr>
        <w:shd w:val="clear" w:color="auto" w:fill="FFFFFF"/>
        <w:tabs>
          <w:tab w:val="left" w:pos="7380"/>
        </w:tabs>
        <w:spacing w:before="161" w:after="161" w:line="288" w:lineRule="atLeast"/>
        <w:jc w:val="both"/>
        <w:outlineLvl w:val="0"/>
        <w:rPr>
          <w:rFonts w:asciiTheme="majorHAnsi" w:eastAsia="Times New Roman" w:hAnsiTheme="majorHAnsi" w:cstheme="majorHAnsi"/>
          <w:bCs/>
          <w:kern w:val="36"/>
          <w:lang w:eastAsia="it-IT"/>
        </w:rPr>
      </w:pPr>
      <w:r w:rsidRPr="00C35FD6">
        <w:rPr>
          <w:rFonts w:asciiTheme="majorHAnsi" w:eastAsia="Times New Roman" w:hAnsiTheme="majorHAnsi" w:cstheme="majorHAnsi"/>
          <w:bCs/>
          <w:kern w:val="36"/>
          <w:lang w:eastAsia="it-IT"/>
        </w:rPr>
        <w:t>Le</w:t>
      </w:r>
      <w:r w:rsidR="00281DDB" w:rsidRPr="00C35FD6">
        <w:rPr>
          <w:rFonts w:asciiTheme="majorHAnsi" w:eastAsia="Times New Roman" w:hAnsiTheme="majorHAnsi" w:cstheme="majorHAnsi"/>
          <w:bCs/>
          <w:iCs/>
          <w:kern w:val="36"/>
          <w:lang w:eastAsia="it-IT"/>
        </w:rPr>
        <w:t xml:space="preserve"> </w:t>
      </w:r>
      <w:r w:rsidR="00281DDB" w:rsidRPr="00C35FD6">
        <w:rPr>
          <w:rFonts w:asciiTheme="majorHAnsi" w:eastAsia="Times New Roman" w:hAnsiTheme="majorHAnsi" w:cstheme="majorHAnsi"/>
          <w:bCs/>
          <w:i/>
          <w:iCs/>
          <w:kern w:val="36"/>
          <w:lang w:eastAsia="it-IT"/>
        </w:rPr>
        <w:t>Conclusioni con le Prospettive di Lavoro</w:t>
      </w:r>
      <w:r w:rsidR="00281DDB" w:rsidRPr="00C35FD6">
        <w:rPr>
          <w:rFonts w:asciiTheme="majorHAnsi" w:eastAsia="Times New Roman" w:hAnsiTheme="majorHAnsi" w:cstheme="majorHAnsi"/>
          <w:bCs/>
          <w:iCs/>
          <w:kern w:val="36"/>
          <w:lang w:eastAsia="it-IT"/>
        </w:rPr>
        <w:t xml:space="preserve"> saranno affidate a </w:t>
      </w:r>
      <w:r w:rsidR="00281DDB" w:rsidRPr="00C35FD6">
        <w:rPr>
          <w:rFonts w:asciiTheme="majorHAnsi" w:eastAsia="Times New Roman" w:hAnsiTheme="majorHAnsi" w:cstheme="majorHAnsi"/>
          <w:bCs/>
          <w:kern w:val="36"/>
          <w:lang w:eastAsia="it-IT"/>
        </w:rPr>
        <w:t xml:space="preserve">sr. Anna Monia </w:t>
      </w:r>
      <w:r w:rsidRPr="00C35FD6">
        <w:rPr>
          <w:rFonts w:asciiTheme="majorHAnsi" w:eastAsia="Times New Roman" w:hAnsiTheme="majorHAnsi" w:cstheme="majorHAnsi"/>
          <w:bCs/>
          <w:kern w:val="36"/>
          <w:lang w:eastAsia="it-IT"/>
        </w:rPr>
        <w:t>Alfieri</w:t>
      </w:r>
      <w:r w:rsidRPr="00C35FD6">
        <w:rPr>
          <w:rFonts w:asciiTheme="majorHAnsi" w:eastAsia="Times New Roman" w:hAnsiTheme="majorHAnsi" w:cstheme="majorHAnsi"/>
          <w:b/>
          <w:bCs/>
          <w:kern w:val="36"/>
          <w:lang w:eastAsia="it-IT"/>
        </w:rPr>
        <w:t xml:space="preserve">, </w:t>
      </w:r>
      <w:r w:rsidRPr="00C35FD6">
        <w:rPr>
          <w:rFonts w:asciiTheme="majorHAnsi" w:eastAsia="Times New Roman" w:hAnsiTheme="majorHAnsi" w:cstheme="majorHAnsi"/>
          <w:bCs/>
          <w:kern w:val="36"/>
          <w:lang w:eastAsia="it-IT"/>
        </w:rPr>
        <w:t>già presidente Fidae Lombardia</w:t>
      </w:r>
      <w:r w:rsidR="005E57BE" w:rsidRPr="00C35FD6">
        <w:rPr>
          <w:rFonts w:asciiTheme="majorHAnsi" w:eastAsia="Times New Roman" w:hAnsiTheme="majorHAnsi" w:cstheme="majorHAnsi"/>
          <w:bCs/>
          <w:kern w:val="36"/>
          <w:lang w:eastAsia="it-IT"/>
        </w:rPr>
        <w:t>,</w:t>
      </w:r>
      <w:r w:rsidRPr="00C35FD6">
        <w:rPr>
          <w:rFonts w:asciiTheme="majorHAnsi" w:eastAsia="Times New Roman" w:hAnsiTheme="majorHAnsi" w:cstheme="majorHAnsi"/>
          <w:bCs/>
          <w:kern w:val="36"/>
          <w:lang w:eastAsia="it-IT"/>
        </w:rPr>
        <w:t xml:space="preserve"> da anni impegnata attivamente sul fronte della parità scolastica</w:t>
      </w:r>
      <w:r w:rsidR="005E57BE" w:rsidRPr="00C35FD6">
        <w:rPr>
          <w:rFonts w:asciiTheme="majorHAnsi" w:eastAsia="Times New Roman" w:hAnsiTheme="majorHAnsi" w:cstheme="majorHAnsi"/>
          <w:bCs/>
          <w:kern w:val="36"/>
          <w:lang w:eastAsia="it-IT"/>
        </w:rPr>
        <w:t xml:space="preserve"> e</w:t>
      </w:r>
      <w:r w:rsidRPr="00C35FD6">
        <w:rPr>
          <w:rFonts w:asciiTheme="majorHAnsi" w:eastAsia="Times New Roman" w:hAnsiTheme="majorHAnsi" w:cstheme="majorHAnsi"/>
          <w:b/>
          <w:bCs/>
          <w:kern w:val="36"/>
          <w:lang w:eastAsia="it-IT"/>
        </w:rPr>
        <w:t xml:space="preserve"> </w:t>
      </w:r>
      <w:r w:rsidRPr="00C35FD6">
        <w:rPr>
          <w:rFonts w:asciiTheme="majorHAnsi" w:eastAsia="Times New Roman" w:hAnsiTheme="majorHAnsi" w:cstheme="majorHAnsi"/>
          <w:bCs/>
          <w:kern w:val="36"/>
          <w:lang w:eastAsia="it-IT"/>
        </w:rPr>
        <w:t>delegata per l’USMI</w:t>
      </w:r>
      <w:r w:rsidR="00281DDB" w:rsidRPr="00C35FD6">
        <w:rPr>
          <w:rFonts w:asciiTheme="majorHAnsi" w:eastAsia="Times New Roman" w:hAnsiTheme="majorHAnsi" w:cstheme="majorHAnsi"/>
          <w:bCs/>
          <w:kern w:val="36"/>
          <w:lang w:eastAsia="it-IT"/>
        </w:rPr>
        <w:t xml:space="preserve"> Nazionale presso l’Ufficio Nazionale per l’Educazione, l</w:t>
      </w:r>
      <w:r w:rsidRPr="00C35FD6">
        <w:rPr>
          <w:rFonts w:asciiTheme="majorHAnsi" w:eastAsia="Times New Roman" w:hAnsiTheme="majorHAnsi" w:cstheme="majorHAnsi"/>
          <w:bCs/>
          <w:kern w:val="36"/>
          <w:lang w:eastAsia="it-IT"/>
        </w:rPr>
        <w:t>a Scuola e l’Università della CE</w:t>
      </w:r>
      <w:r w:rsidR="00281DDB" w:rsidRPr="00C35FD6">
        <w:rPr>
          <w:rFonts w:asciiTheme="majorHAnsi" w:eastAsia="Times New Roman" w:hAnsiTheme="majorHAnsi" w:cstheme="majorHAnsi"/>
          <w:bCs/>
          <w:kern w:val="36"/>
          <w:lang w:eastAsia="it-IT"/>
        </w:rPr>
        <w:t>I</w:t>
      </w:r>
      <w:r w:rsidRPr="00C35FD6">
        <w:rPr>
          <w:rFonts w:asciiTheme="majorHAnsi" w:eastAsia="Times New Roman" w:hAnsiTheme="majorHAnsi" w:cstheme="majorHAnsi"/>
          <w:bCs/>
          <w:kern w:val="36"/>
          <w:lang w:eastAsia="it-IT"/>
        </w:rPr>
        <w:t>.</w:t>
      </w:r>
    </w:p>
    <w:p w:rsidR="005E57BE" w:rsidRPr="00C35FD6" w:rsidRDefault="005E57BE" w:rsidP="005E57BE">
      <w:pPr>
        <w:pStyle w:val="NormaleWeb"/>
        <w:shd w:val="clear" w:color="auto" w:fill="FFFFFF"/>
        <w:jc w:val="both"/>
        <w:rPr>
          <w:rFonts w:asciiTheme="majorHAnsi" w:hAnsiTheme="majorHAnsi" w:cstheme="majorHAnsi"/>
          <w:bCs/>
          <w:kern w:val="36"/>
        </w:rPr>
      </w:pPr>
      <w:r w:rsidRPr="00C35FD6">
        <w:rPr>
          <w:rFonts w:asciiTheme="majorHAnsi" w:hAnsiTheme="majorHAnsi" w:cstheme="majorHAnsi"/>
          <w:b/>
          <w:bCs/>
          <w:kern w:val="36"/>
        </w:rPr>
        <w:t>Quale l’obiettivo del Convegno?</w:t>
      </w:r>
      <w:r w:rsidRPr="00C35FD6">
        <w:rPr>
          <w:rFonts w:asciiTheme="majorHAnsi" w:hAnsiTheme="majorHAnsi" w:cstheme="majorHAnsi"/>
          <w:bCs/>
          <w:kern w:val="36"/>
        </w:rPr>
        <w:t xml:space="preserve"> “L’obiettivo è che tutte le famiglie, per educare i propri figli – è scritto nel comunicato di presentazione – possano effettivamente </w:t>
      </w:r>
      <w:r w:rsidRPr="00C35FD6">
        <w:rPr>
          <w:rFonts w:asciiTheme="majorHAnsi" w:hAnsiTheme="majorHAnsi" w:cstheme="majorHAnsi"/>
          <w:bCs/>
          <w:i/>
          <w:kern w:val="36"/>
        </w:rPr>
        <w:t>scegliere</w:t>
      </w:r>
      <w:r w:rsidRPr="00C35FD6">
        <w:rPr>
          <w:rFonts w:asciiTheme="majorHAnsi" w:hAnsiTheme="majorHAnsi" w:cstheme="majorHAnsi"/>
          <w:bCs/>
          <w:kern w:val="36"/>
        </w:rPr>
        <w:t xml:space="preserve"> tra le Scuole Pubbliche del Sistema Nazionale di Istruzione, statali e paritarie, alle medesime condizioni economiche. È questo lo spirito della Legge 62/2000</w:t>
      </w:r>
      <w:r w:rsidR="005220E2" w:rsidRPr="00C35FD6">
        <w:rPr>
          <w:rFonts w:asciiTheme="majorHAnsi" w:hAnsiTheme="majorHAnsi" w:cstheme="majorHAnsi"/>
          <w:bCs/>
          <w:kern w:val="36"/>
        </w:rPr>
        <w:t xml:space="preserve"> (</w:t>
      </w:r>
      <w:r w:rsidR="005220E2" w:rsidRPr="00C35FD6">
        <w:rPr>
          <w:rFonts w:asciiTheme="majorHAnsi" w:hAnsiTheme="majorHAnsi" w:cstheme="majorHAnsi"/>
          <w:bCs/>
          <w:kern w:val="36"/>
          <w:u w:val="single"/>
        </w:rPr>
        <w:t>ricorre il 20^ anniversario di quella che risulta una legge ancora oggi incompiuta</w:t>
      </w:r>
      <w:r w:rsidR="005220E2" w:rsidRPr="00C35FD6">
        <w:rPr>
          <w:rFonts w:asciiTheme="majorHAnsi" w:hAnsiTheme="majorHAnsi" w:cstheme="majorHAnsi"/>
          <w:bCs/>
          <w:kern w:val="36"/>
        </w:rPr>
        <w:t>)</w:t>
      </w:r>
      <w:r w:rsidRPr="00C35FD6">
        <w:rPr>
          <w:rFonts w:asciiTheme="majorHAnsi" w:hAnsiTheme="majorHAnsi" w:cstheme="majorHAnsi"/>
          <w:bCs/>
          <w:kern w:val="36"/>
        </w:rPr>
        <w:t>, preceduta dal dettato costituzionale e seguita da numerosi pronunciamenti giuridici europei.</w:t>
      </w:r>
      <w:r w:rsidR="005D2CF3" w:rsidRPr="00C35FD6">
        <w:rPr>
          <w:rFonts w:asciiTheme="majorHAnsi" w:hAnsiTheme="majorHAnsi" w:cstheme="majorHAnsi"/>
          <w:bCs/>
          <w:kern w:val="36"/>
        </w:rPr>
        <w:t>”</w:t>
      </w:r>
    </w:p>
    <w:p w:rsidR="005E57BE" w:rsidRPr="00C35FD6" w:rsidRDefault="005E57BE" w:rsidP="00D80AAC">
      <w:pPr>
        <w:shd w:val="clear" w:color="auto" w:fill="FFFFFF"/>
        <w:tabs>
          <w:tab w:val="left" w:pos="7380"/>
        </w:tabs>
        <w:spacing w:before="161" w:after="161" w:line="288" w:lineRule="atLeast"/>
        <w:jc w:val="both"/>
        <w:outlineLvl w:val="0"/>
        <w:rPr>
          <w:rFonts w:asciiTheme="majorHAnsi" w:eastAsia="Times New Roman" w:hAnsiTheme="majorHAnsi" w:cstheme="majorHAnsi"/>
          <w:bCs/>
          <w:kern w:val="36"/>
          <w:lang w:eastAsia="it-IT"/>
        </w:rPr>
      </w:pPr>
      <w:r w:rsidRPr="00C35FD6">
        <w:rPr>
          <w:rFonts w:asciiTheme="majorHAnsi" w:eastAsia="Times New Roman" w:hAnsiTheme="majorHAnsi" w:cstheme="majorHAnsi"/>
          <w:bCs/>
          <w:kern w:val="36"/>
          <w:lang w:eastAsia="it-IT"/>
        </w:rPr>
        <w:t xml:space="preserve">La richiesta di parità effettiva, anche economica, incontra ancora oggi </w:t>
      </w:r>
      <w:r w:rsidR="00DA1F22" w:rsidRPr="00C35FD6">
        <w:rPr>
          <w:rFonts w:asciiTheme="majorHAnsi" w:eastAsia="Times New Roman" w:hAnsiTheme="majorHAnsi" w:cstheme="majorHAnsi"/>
          <w:bCs/>
          <w:kern w:val="36"/>
          <w:lang w:eastAsia="it-IT"/>
        </w:rPr>
        <w:t xml:space="preserve">resistenza da parte di alcuni </w:t>
      </w:r>
      <w:r w:rsidR="00E46FC2" w:rsidRPr="00C35FD6">
        <w:rPr>
          <w:rFonts w:asciiTheme="majorHAnsi" w:eastAsia="Times New Roman" w:hAnsiTheme="majorHAnsi" w:cstheme="majorHAnsi"/>
          <w:bCs/>
          <w:kern w:val="36"/>
          <w:lang w:eastAsia="it-IT"/>
        </w:rPr>
        <w:t>settori politici e culturali, nonostante sia lampante l’ingiustizia per cui i genitori degli alunni delle scuole paritarie pagano due volte per garantire la libera educazione dei loro f</w:t>
      </w:r>
      <w:r w:rsidR="00E07469" w:rsidRPr="00C35FD6">
        <w:rPr>
          <w:rFonts w:asciiTheme="majorHAnsi" w:eastAsia="Times New Roman" w:hAnsiTheme="majorHAnsi" w:cstheme="majorHAnsi"/>
          <w:bCs/>
          <w:kern w:val="36"/>
          <w:lang w:eastAsia="it-IT"/>
        </w:rPr>
        <w:t>i</w:t>
      </w:r>
      <w:r w:rsidR="00E46FC2" w:rsidRPr="00C35FD6">
        <w:rPr>
          <w:rFonts w:asciiTheme="majorHAnsi" w:eastAsia="Times New Roman" w:hAnsiTheme="majorHAnsi" w:cstheme="majorHAnsi"/>
          <w:bCs/>
          <w:kern w:val="36"/>
          <w:lang w:eastAsia="it-IT"/>
        </w:rPr>
        <w:t xml:space="preserve">gli: prima con le tasse, come tutti gli italiani, e poi con le rette che sono costretti a versare alle scuole paritarie che </w:t>
      </w:r>
      <w:r w:rsidR="00E07469" w:rsidRPr="00C35FD6">
        <w:rPr>
          <w:rFonts w:asciiTheme="majorHAnsi" w:eastAsia="Times New Roman" w:hAnsiTheme="majorHAnsi" w:cstheme="majorHAnsi"/>
          <w:bCs/>
          <w:kern w:val="36"/>
          <w:lang w:eastAsia="it-IT"/>
        </w:rPr>
        <w:t>altrimenti non potrebbero garantire il servizio scolastico richiesto dalla libertà di scelta della Famiglia</w:t>
      </w:r>
      <w:r w:rsidR="00E46FC2" w:rsidRPr="00C35FD6">
        <w:rPr>
          <w:rFonts w:asciiTheme="majorHAnsi" w:eastAsia="Times New Roman" w:hAnsiTheme="majorHAnsi" w:cstheme="majorHAnsi"/>
          <w:bCs/>
          <w:kern w:val="36"/>
          <w:lang w:eastAsia="it-IT"/>
        </w:rPr>
        <w:t>.</w:t>
      </w:r>
    </w:p>
    <w:p w:rsidR="002751D3" w:rsidRPr="00C35FD6" w:rsidRDefault="00E46FC2" w:rsidP="00E46FC2">
      <w:pPr>
        <w:pStyle w:val="NormaleWeb"/>
        <w:shd w:val="clear" w:color="auto" w:fill="FFFFFF"/>
        <w:jc w:val="both"/>
        <w:rPr>
          <w:rFonts w:asciiTheme="majorHAnsi" w:hAnsiTheme="majorHAnsi" w:cstheme="majorHAnsi"/>
          <w:kern w:val="36"/>
        </w:rPr>
      </w:pPr>
      <w:r w:rsidRPr="00C35FD6">
        <w:rPr>
          <w:rFonts w:asciiTheme="majorHAnsi" w:hAnsiTheme="majorHAnsi" w:cstheme="majorHAnsi"/>
          <w:bCs/>
          <w:kern w:val="36"/>
          <w:u w:val="single"/>
        </w:rPr>
        <w:t>C’è una soluzione?</w:t>
      </w:r>
      <w:r w:rsidRPr="00C35FD6">
        <w:rPr>
          <w:rFonts w:asciiTheme="majorHAnsi" w:hAnsiTheme="majorHAnsi" w:cstheme="majorHAnsi"/>
          <w:bCs/>
          <w:kern w:val="36"/>
        </w:rPr>
        <w:t xml:space="preserve"> Da ann</w:t>
      </w:r>
      <w:r w:rsidR="002751D3" w:rsidRPr="00C35FD6">
        <w:rPr>
          <w:rFonts w:asciiTheme="majorHAnsi" w:hAnsiTheme="majorHAnsi" w:cstheme="majorHAnsi"/>
          <w:bCs/>
          <w:kern w:val="36"/>
        </w:rPr>
        <w:t>i</w:t>
      </w:r>
      <w:r w:rsidR="00E07469" w:rsidRPr="00C35FD6">
        <w:rPr>
          <w:rFonts w:asciiTheme="majorHAnsi" w:hAnsiTheme="majorHAnsi" w:cstheme="majorHAnsi"/>
          <w:bCs/>
          <w:kern w:val="36"/>
        </w:rPr>
        <w:t xml:space="preserve"> esperti di economia propongono</w:t>
      </w:r>
      <w:r w:rsidR="002751D3" w:rsidRPr="00C35FD6">
        <w:rPr>
          <w:rFonts w:asciiTheme="majorHAnsi" w:hAnsiTheme="majorHAnsi" w:cstheme="majorHAnsi"/>
          <w:kern w:val="36"/>
        </w:rPr>
        <w:t xml:space="preserve"> lo</w:t>
      </w:r>
      <w:r w:rsidRPr="00C35FD6">
        <w:rPr>
          <w:rFonts w:asciiTheme="majorHAnsi" w:hAnsiTheme="majorHAnsi" w:cstheme="majorHAnsi"/>
          <w:kern w:val="36"/>
        </w:rPr>
        <w:t xml:space="preserve"> strumento del </w:t>
      </w:r>
      <w:r w:rsidRPr="00C35FD6">
        <w:rPr>
          <w:rFonts w:asciiTheme="majorHAnsi" w:hAnsiTheme="majorHAnsi" w:cstheme="majorHAnsi"/>
          <w:i/>
          <w:kern w:val="36"/>
        </w:rPr>
        <w:t>costo standard di sostenibilità</w:t>
      </w:r>
      <w:r w:rsidR="00A36DA8" w:rsidRPr="00C35FD6">
        <w:rPr>
          <w:rFonts w:asciiTheme="majorHAnsi" w:hAnsiTheme="majorHAnsi" w:cstheme="majorHAnsi"/>
          <w:i/>
          <w:kern w:val="36"/>
        </w:rPr>
        <w:t xml:space="preserve"> per allievo</w:t>
      </w:r>
      <w:r w:rsidR="00E924AA" w:rsidRPr="00C35FD6">
        <w:rPr>
          <w:rFonts w:asciiTheme="majorHAnsi" w:hAnsiTheme="majorHAnsi" w:cstheme="majorHAnsi"/>
          <w:kern w:val="36"/>
        </w:rPr>
        <w:t xml:space="preserve">, </w:t>
      </w:r>
      <w:r w:rsidRPr="00C35FD6">
        <w:rPr>
          <w:rFonts w:asciiTheme="majorHAnsi" w:hAnsiTheme="majorHAnsi" w:cstheme="majorHAnsi"/>
          <w:kern w:val="36"/>
        </w:rPr>
        <w:t>orientato a far sì che la “libera scelta delle scuole</w:t>
      </w:r>
      <w:r w:rsidR="00E07469" w:rsidRPr="00C35FD6">
        <w:rPr>
          <w:rFonts w:asciiTheme="majorHAnsi" w:hAnsiTheme="majorHAnsi" w:cstheme="majorHAnsi"/>
          <w:kern w:val="36"/>
        </w:rPr>
        <w:t xml:space="preserve"> da parte dei Genitori</w:t>
      </w:r>
      <w:r w:rsidRPr="00C35FD6">
        <w:rPr>
          <w:rFonts w:asciiTheme="majorHAnsi" w:hAnsiTheme="majorHAnsi" w:cstheme="majorHAnsi"/>
          <w:kern w:val="36"/>
        </w:rPr>
        <w:t xml:space="preserve">” non sia più un terreno di scontro ideologico tra partiti, ma sia la procedura trasparente ed efficace per allineare l’Italia ai Paesi civili più avanzati, dove tutte le famiglie, </w:t>
      </w:r>
      <w:r w:rsidR="00E07469" w:rsidRPr="00C35FD6">
        <w:rPr>
          <w:rFonts w:asciiTheme="majorHAnsi" w:hAnsiTheme="majorHAnsi" w:cstheme="majorHAnsi"/>
          <w:kern w:val="36"/>
        </w:rPr>
        <w:t>e quindi anche quelle povere</w:t>
      </w:r>
      <w:r w:rsidRPr="00C35FD6">
        <w:rPr>
          <w:rFonts w:asciiTheme="majorHAnsi" w:hAnsiTheme="majorHAnsi" w:cstheme="majorHAnsi"/>
          <w:kern w:val="36"/>
        </w:rPr>
        <w:t>, godano degli stessi diritti di accesso all’Istruzione Pubblica, che non può essere unicamente “statale”, pena il venir meno della libertà di scelta</w:t>
      </w:r>
      <w:r w:rsidR="001D2497" w:rsidRPr="00C35FD6">
        <w:rPr>
          <w:rFonts w:asciiTheme="majorHAnsi" w:hAnsiTheme="majorHAnsi" w:cstheme="majorHAnsi"/>
          <w:kern w:val="36"/>
        </w:rPr>
        <w:t>,</w:t>
      </w:r>
      <w:r w:rsidRPr="00C35FD6">
        <w:rPr>
          <w:rFonts w:asciiTheme="majorHAnsi" w:hAnsiTheme="majorHAnsi" w:cstheme="majorHAnsi"/>
          <w:kern w:val="36"/>
        </w:rPr>
        <w:t xml:space="preserve"> in una pluralità di offerta formativa</w:t>
      </w:r>
      <w:r w:rsidR="00E07469" w:rsidRPr="00C35FD6">
        <w:rPr>
          <w:rFonts w:asciiTheme="majorHAnsi" w:hAnsiTheme="majorHAnsi" w:cstheme="majorHAnsi"/>
          <w:kern w:val="36"/>
        </w:rPr>
        <w:t xml:space="preserve">, </w:t>
      </w:r>
      <w:r w:rsidR="001D2497" w:rsidRPr="00C35FD6">
        <w:rPr>
          <w:rFonts w:asciiTheme="majorHAnsi" w:hAnsiTheme="majorHAnsi" w:cstheme="majorHAnsi"/>
          <w:kern w:val="36"/>
        </w:rPr>
        <w:t>espressa dalla Costituzione</w:t>
      </w:r>
      <w:r w:rsidRPr="00C35FD6">
        <w:rPr>
          <w:rFonts w:asciiTheme="majorHAnsi" w:hAnsiTheme="majorHAnsi" w:cstheme="majorHAnsi"/>
          <w:kern w:val="36"/>
        </w:rPr>
        <w:t xml:space="preserve">. </w:t>
      </w:r>
      <w:r w:rsidR="00C55E19" w:rsidRPr="00C35FD6">
        <w:rPr>
          <w:rFonts w:asciiTheme="majorHAnsi" w:hAnsiTheme="majorHAnsi" w:cstheme="majorHAnsi"/>
          <w:kern w:val="36"/>
        </w:rPr>
        <w:t xml:space="preserve">Tale strumento </w:t>
      </w:r>
      <w:r w:rsidR="00C060B5" w:rsidRPr="00C35FD6">
        <w:rPr>
          <w:rFonts w:asciiTheme="majorHAnsi" w:hAnsiTheme="majorHAnsi" w:cstheme="majorHAnsi"/>
          <w:kern w:val="36"/>
        </w:rPr>
        <w:t xml:space="preserve">metterebbe al centro </w:t>
      </w:r>
      <w:r w:rsidR="00B56B88" w:rsidRPr="00C35FD6">
        <w:rPr>
          <w:rFonts w:asciiTheme="majorHAnsi" w:hAnsiTheme="majorHAnsi" w:cstheme="majorHAnsi"/>
          <w:kern w:val="36"/>
        </w:rPr>
        <w:t xml:space="preserve">del sistema lo studente, </w:t>
      </w:r>
      <w:r w:rsidR="00DA5516" w:rsidRPr="00C35FD6">
        <w:rPr>
          <w:rFonts w:asciiTheme="majorHAnsi" w:hAnsiTheme="majorHAnsi" w:cstheme="majorHAnsi"/>
          <w:kern w:val="36"/>
        </w:rPr>
        <w:t xml:space="preserve">favorirebbe la libertà di scelta educativa da parte delle famiglie, creerebbe una positiva competitività tra le scuole migliorando </w:t>
      </w:r>
      <w:r w:rsidR="005D2CF3" w:rsidRPr="00C35FD6">
        <w:rPr>
          <w:rFonts w:asciiTheme="majorHAnsi" w:hAnsiTheme="majorHAnsi" w:cstheme="majorHAnsi"/>
          <w:kern w:val="36"/>
        </w:rPr>
        <w:t>la qualità didattica</w:t>
      </w:r>
      <w:r w:rsidR="00DA5516" w:rsidRPr="00C35FD6">
        <w:rPr>
          <w:rFonts w:asciiTheme="majorHAnsi" w:hAnsiTheme="majorHAnsi" w:cstheme="majorHAnsi"/>
          <w:kern w:val="36"/>
        </w:rPr>
        <w:t xml:space="preserve">, produrrebbe un notevole risparmio sulla spesa scolastica da parte dello Stato.  </w:t>
      </w:r>
    </w:p>
    <w:p w:rsidR="00C135A0" w:rsidRPr="00C35FD6" w:rsidRDefault="00E46FC2" w:rsidP="00C135A0">
      <w:pPr>
        <w:jc w:val="both"/>
        <w:rPr>
          <w:rFonts w:asciiTheme="majorHAnsi" w:hAnsiTheme="majorHAnsi" w:cstheme="majorHAnsi"/>
          <w:kern w:val="36"/>
        </w:rPr>
      </w:pPr>
      <w:r w:rsidRPr="00C35FD6">
        <w:rPr>
          <w:rFonts w:asciiTheme="majorHAnsi" w:hAnsiTheme="majorHAnsi" w:cstheme="majorHAnsi"/>
          <w:kern w:val="36"/>
        </w:rPr>
        <w:t xml:space="preserve">A tale proposito, in occasione del VII Festival della Dottrina Sociale, tenutosi a Verona il 25 novembre 2017, a diciassette anni dalla L. 62/2000, in un confronto </w:t>
      </w:r>
      <w:r w:rsidR="00C135A0" w:rsidRPr="00C35FD6">
        <w:rPr>
          <w:rFonts w:asciiTheme="majorHAnsi" w:hAnsiTheme="majorHAnsi" w:cstheme="majorHAnsi"/>
          <w:kern w:val="36"/>
        </w:rPr>
        <w:t xml:space="preserve">con il cardinale Gualtiero Bassetti, presidente CEI, l’allora ministra dell’Istruzione, senatrice Valeria Fedeli, affermava: “Credo sia giunto il momento, dopo 17 anni, di cominciare a fare sul serio sul pluralismo educativo e sull’offerta formativa per il diritto allo studio, anche per le scuole paritarie cattoliche. Ci tengo ad </w:t>
      </w:r>
      <w:r w:rsidR="00C135A0" w:rsidRPr="00C35FD6">
        <w:rPr>
          <w:rFonts w:asciiTheme="majorHAnsi" w:hAnsiTheme="majorHAnsi" w:cstheme="majorHAnsi"/>
          <w:kern w:val="36"/>
        </w:rPr>
        <w:lastRenderedPageBreak/>
        <w:t>annunciare di aver firmato la costituzione del Gruppo di lavoro per la definizione del costo standard di sostenibilità per gli studenti, uno dei punti che ritengo fondamentali per iniziare un percorso insieme”. Non si è lasciato attendere, nel tempo, il supporto trasversale da parte dell’onorevole Valentina Aprea, già assessore all’Istruzione, Formazione e Lavoro della Regione Lombardia: “Va riconosciuto alla ministra Valeria Fedeli – affermava, in sintonia con l’ex ministra Mariastella Gelmini – il merito di aver rotto un tabù, prendendo in concreta considerazione, con la nomina di un gruppo di lavoro ad hoc, il modello del costo standard di sostenibilità come criterio di finanziamento dell’intero sistema pubblico di istruzione.”</w:t>
      </w:r>
    </w:p>
    <w:p w:rsidR="00C135A0" w:rsidRPr="00C35FD6" w:rsidRDefault="00C135A0" w:rsidP="00C135A0">
      <w:pPr>
        <w:rPr>
          <w:rFonts w:asciiTheme="majorHAnsi" w:hAnsiTheme="majorHAnsi" w:cstheme="majorHAnsi"/>
          <w:kern w:val="36"/>
        </w:rPr>
      </w:pPr>
      <w:r w:rsidRPr="00C35FD6">
        <w:rPr>
          <w:rFonts w:asciiTheme="majorHAnsi" w:hAnsiTheme="majorHAnsi" w:cstheme="majorHAnsi"/>
          <w:kern w:val="36"/>
        </w:rPr>
        <w:t>Sono molti i segnali, economici, giuridici, politici, sociali, che rendono indispensabile, per il nostro Paese, attuare un nuovo e diverso metodo di finanziamento del sistema educativo pubblico nel suo complesso.</w:t>
      </w:r>
    </w:p>
    <w:p w:rsidR="00C135A0" w:rsidRPr="00C35FD6" w:rsidRDefault="00C135A0" w:rsidP="00C135A0">
      <w:pPr>
        <w:shd w:val="clear" w:color="auto" w:fill="FFFFFF"/>
        <w:tabs>
          <w:tab w:val="left" w:pos="7380"/>
        </w:tabs>
        <w:spacing w:before="161" w:after="161" w:line="288" w:lineRule="atLeast"/>
        <w:jc w:val="both"/>
        <w:outlineLvl w:val="0"/>
        <w:rPr>
          <w:rFonts w:asciiTheme="majorHAnsi" w:hAnsiTheme="majorHAnsi" w:cstheme="majorHAnsi"/>
          <w:b/>
          <w:kern w:val="36"/>
        </w:rPr>
      </w:pPr>
      <w:r w:rsidRPr="00C35FD6">
        <w:rPr>
          <w:rFonts w:asciiTheme="majorHAnsi" w:hAnsiTheme="majorHAnsi" w:cstheme="majorHAnsi"/>
          <w:kern w:val="36"/>
          <w:u w:val="single"/>
        </w:rPr>
        <w:t>Nell’immediato la proposta concreta</w:t>
      </w:r>
      <w:r w:rsidRPr="00C35FD6">
        <w:rPr>
          <w:rFonts w:asciiTheme="majorHAnsi" w:hAnsiTheme="majorHAnsi" w:cstheme="majorHAnsi"/>
          <w:kern w:val="36"/>
        </w:rPr>
        <w:t xml:space="preserve"> che si rivolgerà alle personalità presenti è quella di</w:t>
      </w:r>
      <w:r w:rsidRPr="00C35FD6">
        <w:rPr>
          <w:rFonts w:asciiTheme="majorHAnsi" w:hAnsiTheme="majorHAnsi" w:cstheme="majorHAnsi"/>
          <w:b/>
          <w:kern w:val="36"/>
        </w:rPr>
        <w:t xml:space="preserve"> riprendere i lavori del Gruppo di lavoro per la definizione dei costi standard per studente (Decreto ministeriale n.0000917 del 22/11/17). </w:t>
      </w:r>
      <w:r w:rsidRPr="00C35FD6">
        <w:rPr>
          <w:rFonts w:asciiTheme="majorHAnsi" w:hAnsiTheme="majorHAnsi" w:cstheme="majorHAnsi"/>
          <w:kern w:val="36"/>
        </w:rPr>
        <w:t>Il gruppo di lavoro, in carica per un triennio (2018-2019-2020), dopo il primo insediamento non ha ancora potuto operare. Il tema scuola, autonomia, parità e libertà di scelta educativa sono temi trasversali che necessitano di ricerca, studio approfondimento, confronto scientifico e continuativo.</w:t>
      </w:r>
    </w:p>
    <w:p w:rsidR="004364CE" w:rsidRPr="00C35FD6" w:rsidRDefault="004364CE" w:rsidP="004364CE">
      <w:pPr>
        <w:shd w:val="clear" w:color="auto" w:fill="FFFFFF"/>
        <w:tabs>
          <w:tab w:val="left" w:pos="7380"/>
        </w:tabs>
        <w:spacing w:before="161" w:after="161" w:line="288" w:lineRule="atLeast"/>
        <w:jc w:val="both"/>
        <w:outlineLvl w:val="0"/>
        <w:rPr>
          <w:rFonts w:asciiTheme="majorHAnsi" w:hAnsiTheme="majorHAnsi" w:cstheme="majorHAnsi"/>
          <w:kern w:val="36"/>
        </w:rPr>
      </w:pPr>
    </w:p>
    <w:p w:rsidR="003013F0" w:rsidRPr="00C35FD6" w:rsidRDefault="003013F0" w:rsidP="003013F0">
      <w:pPr>
        <w:pStyle w:val="NormaleWeb"/>
        <w:spacing w:before="0" w:beforeAutospacing="0" w:after="0" w:afterAutospacing="0" w:line="324" w:lineRule="atLeast"/>
        <w:textAlignment w:val="baseline"/>
        <w:rPr>
          <w:rFonts w:asciiTheme="majorHAnsi" w:hAnsiTheme="majorHAnsi" w:cstheme="majorHAnsi"/>
        </w:rPr>
      </w:pPr>
      <w:r w:rsidRPr="00C35FD6">
        <w:rPr>
          <w:rFonts w:asciiTheme="majorHAnsi" w:hAnsiTheme="majorHAnsi" w:cstheme="majorHAnsi"/>
        </w:rPr>
        <w:t>I dati della scuola cattolica</w:t>
      </w:r>
    </w:p>
    <w:p w:rsidR="003013F0" w:rsidRPr="00C35FD6" w:rsidRDefault="00BC36DF" w:rsidP="003013F0">
      <w:pPr>
        <w:pStyle w:val="NormaleWeb"/>
        <w:spacing w:before="0" w:beforeAutospacing="0" w:after="0" w:afterAutospacing="0" w:line="324" w:lineRule="atLeast"/>
        <w:textAlignment w:val="baseline"/>
        <w:rPr>
          <w:rFonts w:asciiTheme="majorHAnsi" w:eastAsia="Calibri" w:hAnsiTheme="majorHAnsi" w:cstheme="majorHAnsi"/>
          <w:lang w:eastAsia="en-US"/>
        </w:rPr>
      </w:pPr>
      <w:r w:rsidRPr="00BC36DF">
        <w:rPr>
          <w:rFonts w:asciiTheme="majorHAnsi" w:hAnsiTheme="majorHAnsi" w:cstheme="majorHAnsi"/>
        </w:rPr>
        <w:fldChar w:fldCharType="begin"/>
      </w:r>
      <w:r w:rsidR="003013F0" w:rsidRPr="00C35FD6">
        <w:rPr>
          <w:rFonts w:asciiTheme="majorHAnsi" w:hAnsiTheme="majorHAnsi" w:cstheme="majorHAnsi"/>
        </w:rPr>
        <w:instrText xml:space="preserve"> LINK Excel.Sheet.12 "E:\\Articoli da Aprile 19\\DATI.xlsx" Foglio2!R94C1:R98C11 \a \f 4 \h </w:instrText>
      </w:r>
      <w:r w:rsidR="004364CE" w:rsidRPr="00C35FD6">
        <w:rPr>
          <w:rFonts w:asciiTheme="majorHAnsi" w:hAnsiTheme="majorHAnsi" w:cstheme="majorHAnsi"/>
        </w:rPr>
        <w:instrText xml:space="preserve"> \* MERGEFORMAT </w:instrText>
      </w:r>
      <w:r w:rsidRPr="00BC36DF">
        <w:rPr>
          <w:rFonts w:asciiTheme="majorHAnsi" w:hAnsiTheme="majorHAnsi" w:cstheme="majorHAnsi"/>
        </w:rPr>
        <w:fldChar w:fldCharType="separate"/>
      </w:r>
    </w:p>
    <w:tbl>
      <w:tblPr>
        <w:tblW w:w="9864" w:type="dxa"/>
        <w:tblCellMar>
          <w:left w:w="70" w:type="dxa"/>
          <w:right w:w="70" w:type="dxa"/>
        </w:tblCellMar>
        <w:tblLook w:val="04A0"/>
      </w:tblPr>
      <w:tblGrid>
        <w:gridCol w:w="1491"/>
        <w:gridCol w:w="911"/>
        <w:gridCol w:w="743"/>
        <w:gridCol w:w="911"/>
        <w:gridCol w:w="743"/>
        <w:gridCol w:w="675"/>
        <w:gridCol w:w="743"/>
        <w:gridCol w:w="911"/>
        <w:gridCol w:w="743"/>
        <w:gridCol w:w="1081"/>
        <w:gridCol w:w="912"/>
      </w:tblGrid>
      <w:tr w:rsidR="003013F0" w:rsidRPr="00C35FD6" w:rsidTr="004364CE">
        <w:trPr>
          <w:trHeight w:val="1686"/>
        </w:trPr>
        <w:tc>
          <w:tcPr>
            <w:tcW w:w="1491" w:type="dxa"/>
            <w:tcBorders>
              <w:top w:val="single" w:sz="4" w:space="0" w:color="auto"/>
              <w:left w:val="single" w:sz="4" w:space="0" w:color="auto"/>
              <w:bottom w:val="single" w:sz="4" w:space="0" w:color="auto"/>
              <w:right w:val="nil"/>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w:t>
            </w:r>
          </w:p>
        </w:tc>
        <w:tc>
          <w:tcPr>
            <w:tcW w:w="1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INFANZIA</w:t>
            </w:r>
          </w:p>
        </w:tc>
        <w:tc>
          <w:tcPr>
            <w:tcW w:w="165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PRIMARIA</w:t>
            </w:r>
          </w:p>
        </w:tc>
        <w:tc>
          <w:tcPr>
            <w:tcW w:w="141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SEC. </w:t>
            </w:r>
            <w:proofErr w:type="spellStart"/>
            <w:r w:rsidRPr="00C35FD6">
              <w:rPr>
                <w:rFonts w:asciiTheme="majorHAnsi" w:eastAsia="Times New Roman" w:hAnsiTheme="majorHAnsi" w:cstheme="majorHAnsi"/>
                <w:color w:val="000000"/>
                <w:lang w:eastAsia="it-IT"/>
              </w:rPr>
              <w:t>I^</w:t>
            </w:r>
            <w:proofErr w:type="spellEnd"/>
            <w:r w:rsidRPr="00C35FD6">
              <w:rPr>
                <w:rFonts w:asciiTheme="majorHAnsi" w:eastAsia="Times New Roman" w:hAnsiTheme="majorHAnsi" w:cstheme="majorHAnsi"/>
                <w:color w:val="000000"/>
                <w:lang w:eastAsia="it-IT"/>
              </w:rPr>
              <w:t xml:space="preserve"> GRADO</w:t>
            </w:r>
          </w:p>
        </w:tc>
        <w:tc>
          <w:tcPr>
            <w:tcW w:w="165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SEC. </w:t>
            </w:r>
            <w:proofErr w:type="spellStart"/>
            <w:r w:rsidRPr="00C35FD6">
              <w:rPr>
                <w:rFonts w:asciiTheme="majorHAnsi" w:eastAsia="Times New Roman" w:hAnsiTheme="majorHAnsi" w:cstheme="majorHAnsi"/>
                <w:color w:val="000000"/>
                <w:lang w:eastAsia="it-IT"/>
              </w:rPr>
              <w:t>II^</w:t>
            </w:r>
            <w:proofErr w:type="spellEnd"/>
            <w:r w:rsidRPr="00C35FD6">
              <w:rPr>
                <w:rFonts w:asciiTheme="majorHAnsi" w:eastAsia="Times New Roman" w:hAnsiTheme="majorHAnsi" w:cstheme="majorHAnsi"/>
                <w:color w:val="000000"/>
                <w:lang w:eastAsia="it-IT"/>
              </w:rPr>
              <w:t xml:space="preserve"> GRADO</w:t>
            </w:r>
          </w:p>
        </w:tc>
        <w:tc>
          <w:tcPr>
            <w:tcW w:w="19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TOTALE</w:t>
            </w:r>
          </w:p>
        </w:tc>
      </w:tr>
      <w:tr w:rsidR="004364CE" w:rsidRPr="00C35FD6" w:rsidTr="004364CE">
        <w:trPr>
          <w:trHeight w:val="1686"/>
        </w:trPr>
        <w:tc>
          <w:tcPr>
            <w:tcW w:w="1491" w:type="dxa"/>
            <w:tcBorders>
              <w:top w:val="nil"/>
              <w:left w:val="single" w:sz="4" w:space="0" w:color="auto"/>
              <w:bottom w:val="nil"/>
              <w:right w:val="nil"/>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w:t>
            </w:r>
          </w:p>
        </w:tc>
        <w:tc>
          <w:tcPr>
            <w:tcW w:w="911" w:type="dxa"/>
            <w:tcBorders>
              <w:top w:val="nil"/>
              <w:left w:val="single" w:sz="4" w:space="0" w:color="auto"/>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N. </w:t>
            </w:r>
          </w:p>
        </w:tc>
        <w:tc>
          <w:tcPr>
            <w:tcW w:w="742"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w:t>
            </w:r>
          </w:p>
        </w:tc>
        <w:tc>
          <w:tcPr>
            <w:tcW w:w="911"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N. </w:t>
            </w:r>
          </w:p>
        </w:tc>
        <w:tc>
          <w:tcPr>
            <w:tcW w:w="742"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w:t>
            </w:r>
          </w:p>
        </w:tc>
        <w:tc>
          <w:tcPr>
            <w:tcW w:w="675"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N. </w:t>
            </w:r>
          </w:p>
        </w:tc>
        <w:tc>
          <w:tcPr>
            <w:tcW w:w="742"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w:t>
            </w:r>
          </w:p>
        </w:tc>
        <w:tc>
          <w:tcPr>
            <w:tcW w:w="911"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N. </w:t>
            </w:r>
          </w:p>
        </w:tc>
        <w:tc>
          <w:tcPr>
            <w:tcW w:w="742"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w:t>
            </w:r>
          </w:p>
        </w:tc>
        <w:tc>
          <w:tcPr>
            <w:tcW w:w="1081"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 xml:space="preserve">N. </w:t>
            </w:r>
          </w:p>
        </w:tc>
        <w:tc>
          <w:tcPr>
            <w:tcW w:w="911"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w:t>
            </w:r>
          </w:p>
        </w:tc>
      </w:tr>
      <w:tr w:rsidR="004364CE" w:rsidRPr="00C35FD6" w:rsidTr="004364CE">
        <w:trPr>
          <w:trHeight w:val="1686"/>
        </w:trPr>
        <w:tc>
          <w:tcPr>
            <w:tcW w:w="1491" w:type="dxa"/>
            <w:tcBorders>
              <w:top w:val="single" w:sz="4" w:space="0" w:color="auto"/>
              <w:left w:val="single" w:sz="4" w:space="0" w:color="auto"/>
              <w:bottom w:val="single" w:sz="4" w:space="0" w:color="auto"/>
              <w:right w:val="nil"/>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FF0000"/>
                <w:lang w:eastAsia="it-IT"/>
              </w:rPr>
            </w:pPr>
            <w:r w:rsidRPr="00C35FD6">
              <w:rPr>
                <w:rFonts w:asciiTheme="majorHAnsi" w:eastAsia="Times New Roman" w:hAnsiTheme="majorHAnsi" w:cstheme="majorHAnsi"/>
                <w:b/>
                <w:bCs/>
                <w:color w:val="FF0000"/>
                <w:lang w:eastAsia="it-IT"/>
              </w:rPr>
              <w:t>Scuole Cattoliche</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FF0000"/>
                <w:lang w:eastAsia="it-IT"/>
              </w:rPr>
            </w:pPr>
            <w:r w:rsidRPr="00C35FD6">
              <w:rPr>
                <w:rFonts w:asciiTheme="majorHAnsi" w:eastAsia="Times New Roman" w:hAnsiTheme="majorHAnsi" w:cstheme="majorHAnsi"/>
                <w:b/>
                <w:bCs/>
                <w:color w:val="FF0000"/>
                <w:lang w:eastAsia="it-IT"/>
              </w:rPr>
              <w:t>5.826</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FF0000"/>
                <w:lang w:eastAsia="it-IT"/>
              </w:rPr>
            </w:pPr>
            <w:r w:rsidRPr="00C35FD6">
              <w:rPr>
                <w:rFonts w:asciiTheme="majorHAnsi" w:eastAsia="Times New Roman" w:hAnsiTheme="majorHAnsi" w:cstheme="majorHAnsi"/>
                <w:b/>
                <w:bCs/>
                <w:color w:val="FF0000"/>
                <w:lang w:eastAsia="it-IT"/>
              </w:rPr>
              <w:t xml:space="preserve">      65,0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FF0000"/>
                <w:lang w:eastAsia="it-IT"/>
              </w:rPr>
            </w:pPr>
            <w:r w:rsidRPr="00C35FD6">
              <w:rPr>
                <w:rFonts w:asciiTheme="majorHAnsi" w:eastAsia="Times New Roman" w:hAnsiTheme="majorHAnsi" w:cstheme="majorHAnsi"/>
                <w:b/>
                <w:bCs/>
                <w:color w:val="FF0000"/>
                <w:lang w:eastAsia="it-IT"/>
              </w:rPr>
              <w:t>1.021</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FF0000"/>
                <w:lang w:eastAsia="it-IT"/>
              </w:rPr>
            </w:pPr>
            <w:r w:rsidRPr="00C35FD6">
              <w:rPr>
                <w:rFonts w:asciiTheme="majorHAnsi" w:eastAsia="Times New Roman" w:hAnsiTheme="majorHAnsi" w:cstheme="majorHAnsi"/>
                <w:b/>
                <w:bCs/>
                <w:color w:val="FF0000"/>
                <w:lang w:eastAsia="it-IT"/>
              </w:rPr>
              <w:t xml:space="preserve">   73,7 </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FF0000"/>
                <w:lang w:eastAsia="it-IT"/>
              </w:rPr>
            </w:pPr>
            <w:r w:rsidRPr="00C35FD6">
              <w:rPr>
                <w:rFonts w:asciiTheme="majorHAnsi" w:eastAsia="Times New Roman" w:hAnsiTheme="majorHAnsi" w:cstheme="majorHAnsi"/>
                <w:b/>
                <w:bCs/>
                <w:color w:val="FF0000"/>
                <w:lang w:eastAsia="it-IT"/>
              </w:rPr>
              <w:t>517</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FF0000"/>
                <w:lang w:eastAsia="it-IT"/>
              </w:rPr>
            </w:pPr>
            <w:r w:rsidRPr="00C35FD6">
              <w:rPr>
                <w:rFonts w:asciiTheme="majorHAnsi" w:eastAsia="Times New Roman" w:hAnsiTheme="majorHAnsi" w:cstheme="majorHAnsi"/>
                <w:b/>
                <w:bCs/>
                <w:color w:val="FF0000"/>
                <w:lang w:eastAsia="it-IT"/>
              </w:rPr>
              <w:t xml:space="preserve">    84,6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FF0000"/>
                <w:lang w:eastAsia="it-IT"/>
              </w:rPr>
            </w:pPr>
            <w:r w:rsidRPr="00C35FD6">
              <w:rPr>
                <w:rFonts w:asciiTheme="majorHAnsi" w:eastAsia="Times New Roman" w:hAnsiTheme="majorHAnsi" w:cstheme="majorHAnsi"/>
                <w:b/>
                <w:bCs/>
                <w:color w:val="FF0000"/>
                <w:lang w:eastAsia="it-IT"/>
              </w:rPr>
              <w:t>591</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FF0000"/>
                <w:lang w:eastAsia="it-IT"/>
              </w:rPr>
            </w:pPr>
            <w:r w:rsidRPr="00C35FD6">
              <w:rPr>
                <w:rFonts w:asciiTheme="majorHAnsi" w:eastAsia="Times New Roman" w:hAnsiTheme="majorHAnsi" w:cstheme="majorHAnsi"/>
                <w:b/>
                <w:bCs/>
                <w:color w:val="FF0000"/>
                <w:lang w:eastAsia="it-IT"/>
              </w:rPr>
              <w:t xml:space="preserve">     13,7 </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FF0000"/>
                <w:lang w:eastAsia="it-IT"/>
              </w:rPr>
            </w:pPr>
            <w:r w:rsidRPr="00C35FD6">
              <w:rPr>
                <w:rFonts w:asciiTheme="majorHAnsi" w:eastAsia="Times New Roman" w:hAnsiTheme="majorHAnsi" w:cstheme="majorHAnsi"/>
                <w:b/>
                <w:bCs/>
                <w:color w:val="FF0000"/>
                <w:lang w:eastAsia="it-IT"/>
              </w:rPr>
              <w:t>7.955</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FF0000"/>
                <w:lang w:eastAsia="it-IT"/>
              </w:rPr>
            </w:pPr>
            <w:r w:rsidRPr="00C35FD6">
              <w:rPr>
                <w:rFonts w:asciiTheme="majorHAnsi" w:eastAsia="Times New Roman" w:hAnsiTheme="majorHAnsi" w:cstheme="majorHAnsi"/>
                <w:b/>
                <w:bCs/>
                <w:color w:val="FF0000"/>
                <w:lang w:eastAsia="it-IT"/>
              </w:rPr>
              <w:t xml:space="preserve">     63,4 </w:t>
            </w:r>
          </w:p>
        </w:tc>
      </w:tr>
      <w:tr w:rsidR="004364CE" w:rsidRPr="00C35FD6" w:rsidTr="004364CE">
        <w:trPr>
          <w:trHeight w:val="1767"/>
        </w:trPr>
        <w:tc>
          <w:tcPr>
            <w:tcW w:w="1491" w:type="dxa"/>
            <w:tcBorders>
              <w:top w:val="nil"/>
              <w:left w:val="single" w:sz="4" w:space="0" w:color="auto"/>
              <w:bottom w:val="double" w:sz="6" w:space="0" w:color="auto"/>
              <w:right w:val="nil"/>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Altre scuole paritarie</w:t>
            </w:r>
          </w:p>
        </w:tc>
        <w:tc>
          <w:tcPr>
            <w:tcW w:w="911" w:type="dxa"/>
            <w:tcBorders>
              <w:top w:val="nil"/>
              <w:left w:val="single" w:sz="4" w:space="0" w:color="auto"/>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3.134</w:t>
            </w:r>
          </w:p>
        </w:tc>
        <w:tc>
          <w:tcPr>
            <w:tcW w:w="742"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      35,0 </w:t>
            </w:r>
          </w:p>
        </w:tc>
        <w:tc>
          <w:tcPr>
            <w:tcW w:w="911"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364</w:t>
            </w:r>
          </w:p>
        </w:tc>
        <w:tc>
          <w:tcPr>
            <w:tcW w:w="742"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   26,3 </w:t>
            </w:r>
          </w:p>
        </w:tc>
        <w:tc>
          <w:tcPr>
            <w:tcW w:w="675"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94</w:t>
            </w:r>
          </w:p>
        </w:tc>
        <w:tc>
          <w:tcPr>
            <w:tcW w:w="742"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    15,4 </w:t>
            </w:r>
          </w:p>
        </w:tc>
        <w:tc>
          <w:tcPr>
            <w:tcW w:w="911"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1.000</w:t>
            </w:r>
          </w:p>
        </w:tc>
        <w:tc>
          <w:tcPr>
            <w:tcW w:w="742"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     62,9 </w:t>
            </w:r>
          </w:p>
        </w:tc>
        <w:tc>
          <w:tcPr>
            <w:tcW w:w="1081"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4.592</w:t>
            </w:r>
          </w:p>
        </w:tc>
        <w:tc>
          <w:tcPr>
            <w:tcW w:w="911"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     36,6 </w:t>
            </w:r>
          </w:p>
        </w:tc>
      </w:tr>
      <w:tr w:rsidR="004364CE" w:rsidRPr="00C35FD6" w:rsidTr="004364CE">
        <w:trPr>
          <w:trHeight w:val="1767"/>
        </w:trPr>
        <w:tc>
          <w:tcPr>
            <w:tcW w:w="1491" w:type="dxa"/>
            <w:tcBorders>
              <w:top w:val="nil"/>
              <w:left w:val="single" w:sz="4" w:space="0" w:color="auto"/>
              <w:bottom w:val="single" w:sz="4" w:space="0" w:color="auto"/>
              <w:right w:val="nil"/>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lastRenderedPageBreak/>
              <w:t>Totale scuole paritarie</w:t>
            </w:r>
          </w:p>
        </w:tc>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8.960</w:t>
            </w:r>
          </w:p>
        </w:tc>
        <w:tc>
          <w:tcPr>
            <w:tcW w:w="742" w:type="dxa"/>
            <w:tcBorders>
              <w:top w:val="nil"/>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 </w:t>
            </w:r>
          </w:p>
        </w:tc>
        <w:tc>
          <w:tcPr>
            <w:tcW w:w="911" w:type="dxa"/>
            <w:tcBorders>
              <w:top w:val="nil"/>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1.385</w:t>
            </w:r>
          </w:p>
        </w:tc>
        <w:tc>
          <w:tcPr>
            <w:tcW w:w="742" w:type="dxa"/>
            <w:tcBorders>
              <w:top w:val="nil"/>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 </w:t>
            </w:r>
          </w:p>
        </w:tc>
        <w:tc>
          <w:tcPr>
            <w:tcW w:w="675" w:type="dxa"/>
            <w:tcBorders>
              <w:top w:val="nil"/>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611</w:t>
            </w:r>
          </w:p>
        </w:tc>
        <w:tc>
          <w:tcPr>
            <w:tcW w:w="742" w:type="dxa"/>
            <w:tcBorders>
              <w:top w:val="nil"/>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 </w:t>
            </w:r>
          </w:p>
        </w:tc>
        <w:tc>
          <w:tcPr>
            <w:tcW w:w="911" w:type="dxa"/>
            <w:tcBorders>
              <w:top w:val="nil"/>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1.591</w:t>
            </w:r>
          </w:p>
        </w:tc>
        <w:tc>
          <w:tcPr>
            <w:tcW w:w="742" w:type="dxa"/>
            <w:tcBorders>
              <w:top w:val="nil"/>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 </w:t>
            </w:r>
          </w:p>
        </w:tc>
        <w:tc>
          <w:tcPr>
            <w:tcW w:w="1081" w:type="dxa"/>
            <w:tcBorders>
              <w:top w:val="nil"/>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12.547</w:t>
            </w:r>
          </w:p>
        </w:tc>
        <w:tc>
          <w:tcPr>
            <w:tcW w:w="911" w:type="dxa"/>
            <w:tcBorders>
              <w:top w:val="nil"/>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 xml:space="preserve">   100,0 </w:t>
            </w:r>
          </w:p>
        </w:tc>
      </w:tr>
    </w:tbl>
    <w:p w:rsidR="003013F0" w:rsidRPr="00C35FD6" w:rsidRDefault="00BC36DF" w:rsidP="003013F0">
      <w:pPr>
        <w:rPr>
          <w:rFonts w:asciiTheme="majorHAnsi" w:hAnsiTheme="majorHAnsi" w:cstheme="majorHAnsi"/>
        </w:rPr>
      </w:pPr>
      <w:r w:rsidRPr="00C35FD6">
        <w:rPr>
          <w:rFonts w:asciiTheme="majorHAnsi" w:hAnsiTheme="majorHAnsi" w:cstheme="majorHAnsi"/>
        </w:rPr>
        <w:fldChar w:fldCharType="end"/>
      </w:r>
      <w:r w:rsidR="003013F0" w:rsidRPr="00C35FD6">
        <w:rPr>
          <w:rFonts w:asciiTheme="majorHAnsi" w:hAnsiTheme="majorHAnsi" w:cstheme="majorHAnsi"/>
        </w:rPr>
        <w:t>Fonte: elaborazione CSSC sui dati Miur 2019.</w:t>
      </w:r>
      <w:bookmarkStart w:id="0" w:name="_GoBack"/>
      <w:bookmarkEnd w:id="0"/>
    </w:p>
    <w:p w:rsidR="003013F0" w:rsidRPr="00C35FD6" w:rsidRDefault="003013F0" w:rsidP="003013F0">
      <w:pPr>
        <w:pStyle w:val="NormaleWeb"/>
        <w:spacing w:before="0" w:beforeAutospacing="0" w:after="0" w:afterAutospacing="0" w:line="324" w:lineRule="atLeast"/>
        <w:textAlignment w:val="baseline"/>
        <w:rPr>
          <w:rFonts w:asciiTheme="majorHAnsi" w:hAnsiTheme="majorHAnsi" w:cstheme="majorHAnsi"/>
        </w:rPr>
      </w:pPr>
    </w:p>
    <w:p w:rsidR="003013F0" w:rsidRPr="00C35FD6" w:rsidRDefault="003013F0" w:rsidP="003013F0">
      <w:pPr>
        <w:pStyle w:val="NormaleWeb"/>
        <w:spacing w:before="0" w:beforeAutospacing="0" w:after="0" w:afterAutospacing="0" w:line="324" w:lineRule="atLeast"/>
        <w:textAlignment w:val="baseline"/>
        <w:rPr>
          <w:rFonts w:asciiTheme="majorHAnsi" w:hAnsiTheme="majorHAnsi" w:cstheme="majorHAnsi"/>
        </w:rPr>
      </w:pPr>
    </w:p>
    <w:p w:rsidR="003013F0" w:rsidRPr="00C35FD6" w:rsidRDefault="00BC36DF" w:rsidP="003013F0">
      <w:pPr>
        <w:pStyle w:val="NormaleWeb"/>
        <w:spacing w:before="0" w:beforeAutospacing="0" w:after="0" w:afterAutospacing="0" w:line="324" w:lineRule="atLeast"/>
        <w:textAlignment w:val="baseline"/>
        <w:rPr>
          <w:rFonts w:asciiTheme="majorHAnsi" w:eastAsia="Calibri" w:hAnsiTheme="majorHAnsi" w:cstheme="majorHAnsi"/>
          <w:lang w:eastAsia="en-US"/>
        </w:rPr>
      </w:pPr>
      <w:r w:rsidRPr="00BC36DF">
        <w:rPr>
          <w:rFonts w:asciiTheme="majorHAnsi" w:hAnsiTheme="majorHAnsi" w:cstheme="majorHAnsi"/>
        </w:rPr>
        <w:fldChar w:fldCharType="begin"/>
      </w:r>
      <w:r w:rsidR="003013F0" w:rsidRPr="00C35FD6">
        <w:rPr>
          <w:rFonts w:asciiTheme="majorHAnsi" w:hAnsiTheme="majorHAnsi" w:cstheme="majorHAnsi"/>
        </w:rPr>
        <w:instrText xml:space="preserve"> LINK Excel.Sheet.12 "E:\\Articoli da Aprile 19\\DATI.xlsx" Foglio2!R103C1:R106C11 \a \f 4 \h  \* MERGEFORMAT </w:instrText>
      </w:r>
      <w:r w:rsidRPr="00BC36DF">
        <w:rPr>
          <w:rFonts w:asciiTheme="majorHAnsi" w:hAnsiTheme="majorHAnsi" w:cstheme="majorHAnsi"/>
        </w:rPr>
        <w:fldChar w:fldCharType="separate"/>
      </w:r>
    </w:p>
    <w:tbl>
      <w:tblPr>
        <w:tblW w:w="9049" w:type="dxa"/>
        <w:tblCellMar>
          <w:left w:w="70" w:type="dxa"/>
          <w:right w:w="70" w:type="dxa"/>
        </w:tblCellMar>
        <w:tblLook w:val="04A0"/>
      </w:tblPr>
      <w:tblGrid>
        <w:gridCol w:w="2252"/>
        <w:gridCol w:w="809"/>
        <w:gridCol w:w="804"/>
        <w:gridCol w:w="688"/>
        <w:gridCol w:w="712"/>
        <w:gridCol w:w="627"/>
        <w:gridCol w:w="647"/>
        <w:gridCol w:w="688"/>
        <w:gridCol w:w="724"/>
        <w:gridCol w:w="813"/>
        <w:gridCol w:w="709"/>
      </w:tblGrid>
      <w:tr w:rsidR="003013F0" w:rsidRPr="00C35FD6" w:rsidTr="004364CE">
        <w:trPr>
          <w:trHeight w:val="671"/>
        </w:trPr>
        <w:tc>
          <w:tcPr>
            <w:tcW w:w="2252" w:type="dxa"/>
            <w:tcBorders>
              <w:top w:val="single" w:sz="4" w:space="0" w:color="auto"/>
              <w:left w:val="single" w:sz="4" w:space="0" w:color="auto"/>
              <w:bottom w:val="single" w:sz="4" w:space="0" w:color="auto"/>
              <w:right w:val="nil"/>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w:t>
            </w:r>
          </w:p>
        </w:tc>
        <w:tc>
          <w:tcPr>
            <w:tcW w:w="15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INFANZIA</w:t>
            </w:r>
          </w:p>
        </w:tc>
        <w:tc>
          <w:tcPr>
            <w:tcW w:w="13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PRIMARIA</w:t>
            </w:r>
          </w:p>
        </w:tc>
        <w:tc>
          <w:tcPr>
            <w:tcW w:w="115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SEC. </w:t>
            </w:r>
            <w:proofErr w:type="spellStart"/>
            <w:r w:rsidRPr="00C35FD6">
              <w:rPr>
                <w:rFonts w:asciiTheme="majorHAnsi" w:eastAsia="Times New Roman" w:hAnsiTheme="majorHAnsi" w:cstheme="majorHAnsi"/>
                <w:color w:val="000000"/>
                <w:lang w:eastAsia="it-IT"/>
              </w:rPr>
              <w:t>I^</w:t>
            </w:r>
            <w:proofErr w:type="spellEnd"/>
            <w:r w:rsidRPr="00C35FD6">
              <w:rPr>
                <w:rFonts w:asciiTheme="majorHAnsi" w:eastAsia="Times New Roman" w:hAnsiTheme="majorHAnsi" w:cstheme="majorHAnsi"/>
                <w:color w:val="000000"/>
                <w:lang w:eastAsia="it-IT"/>
              </w:rPr>
              <w:t xml:space="preserve"> GRADO</w:t>
            </w:r>
          </w:p>
        </w:tc>
        <w:tc>
          <w:tcPr>
            <w:tcW w:w="130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SEC. </w:t>
            </w:r>
            <w:proofErr w:type="spellStart"/>
            <w:r w:rsidRPr="00C35FD6">
              <w:rPr>
                <w:rFonts w:asciiTheme="majorHAnsi" w:eastAsia="Times New Roman" w:hAnsiTheme="majorHAnsi" w:cstheme="majorHAnsi"/>
                <w:color w:val="000000"/>
                <w:lang w:eastAsia="it-IT"/>
              </w:rPr>
              <w:t>II^</w:t>
            </w:r>
            <w:proofErr w:type="spellEnd"/>
            <w:r w:rsidRPr="00C35FD6">
              <w:rPr>
                <w:rFonts w:asciiTheme="majorHAnsi" w:eastAsia="Times New Roman" w:hAnsiTheme="majorHAnsi" w:cstheme="majorHAnsi"/>
                <w:color w:val="000000"/>
                <w:lang w:eastAsia="it-IT"/>
              </w:rPr>
              <w:t xml:space="preserve"> GRADO</w:t>
            </w:r>
          </w:p>
        </w:tc>
        <w:tc>
          <w:tcPr>
            <w:tcW w:w="14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TOTALE</w:t>
            </w:r>
          </w:p>
        </w:tc>
      </w:tr>
      <w:tr w:rsidR="003013F0" w:rsidRPr="00C35FD6" w:rsidTr="004364CE">
        <w:trPr>
          <w:trHeight w:val="671"/>
        </w:trPr>
        <w:tc>
          <w:tcPr>
            <w:tcW w:w="2252" w:type="dxa"/>
            <w:tcBorders>
              <w:top w:val="nil"/>
              <w:left w:val="single" w:sz="4" w:space="0" w:color="auto"/>
              <w:bottom w:val="nil"/>
              <w:right w:val="nil"/>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w:t>
            </w:r>
          </w:p>
        </w:tc>
        <w:tc>
          <w:tcPr>
            <w:tcW w:w="730" w:type="dxa"/>
            <w:tcBorders>
              <w:top w:val="nil"/>
              <w:left w:val="single" w:sz="4" w:space="0" w:color="auto"/>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N. </w:t>
            </w:r>
          </w:p>
        </w:tc>
        <w:tc>
          <w:tcPr>
            <w:tcW w:w="804"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w:t>
            </w:r>
          </w:p>
        </w:tc>
        <w:tc>
          <w:tcPr>
            <w:tcW w:w="681"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N. </w:t>
            </w:r>
          </w:p>
        </w:tc>
        <w:tc>
          <w:tcPr>
            <w:tcW w:w="712"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w:t>
            </w:r>
          </w:p>
        </w:tc>
        <w:tc>
          <w:tcPr>
            <w:tcW w:w="506"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N. </w:t>
            </w:r>
          </w:p>
        </w:tc>
        <w:tc>
          <w:tcPr>
            <w:tcW w:w="647"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w:t>
            </w:r>
          </w:p>
        </w:tc>
        <w:tc>
          <w:tcPr>
            <w:tcW w:w="585"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 xml:space="preserve">N. </w:t>
            </w:r>
          </w:p>
        </w:tc>
        <w:tc>
          <w:tcPr>
            <w:tcW w:w="724"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color w:val="000000"/>
                <w:lang w:eastAsia="it-IT"/>
              </w:rPr>
            </w:pPr>
            <w:r w:rsidRPr="00C35FD6">
              <w:rPr>
                <w:rFonts w:asciiTheme="majorHAnsi" w:eastAsia="Times New Roman" w:hAnsiTheme="majorHAnsi" w:cstheme="majorHAnsi"/>
                <w:color w:val="000000"/>
                <w:lang w:eastAsia="it-IT"/>
              </w:rPr>
              <w:t>%</w:t>
            </w:r>
          </w:p>
        </w:tc>
        <w:tc>
          <w:tcPr>
            <w:tcW w:w="698"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 xml:space="preserve">N. </w:t>
            </w:r>
          </w:p>
        </w:tc>
        <w:tc>
          <w:tcPr>
            <w:tcW w:w="709" w:type="dxa"/>
            <w:tcBorders>
              <w:top w:val="nil"/>
              <w:left w:val="nil"/>
              <w:bottom w:val="nil"/>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color w:val="000000"/>
                <w:lang w:eastAsia="it-IT"/>
              </w:rPr>
            </w:pPr>
            <w:r w:rsidRPr="00C35FD6">
              <w:rPr>
                <w:rFonts w:asciiTheme="majorHAnsi" w:eastAsia="Times New Roman" w:hAnsiTheme="majorHAnsi" w:cstheme="majorHAnsi"/>
                <w:b/>
                <w:bCs/>
                <w:color w:val="000000"/>
                <w:lang w:eastAsia="it-IT"/>
              </w:rPr>
              <w:t>%</w:t>
            </w:r>
          </w:p>
        </w:tc>
      </w:tr>
      <w:tr w:rsidR="003013F0" w:rsidRPr="00C35FD6" w:rsidTr="004364CE">
        <w:trPr>
          <w:trHeight w:val="671"/>
        </w:trPr>
        <w:tc>
          <w:tcPr>
            <w:tcW w:w="2252" w:type="dxa"/>
            <w:tcBorders>
              <w:top w:val="single" w:sz="4" w:space="0" w:color="auto"/>
              <w:left w:val="single" w:sz="4" w:space="0" w:color="auto"/>
              <w:bottom w:val="single" w:sz="4" w:space="0" w:color="auto"/>
              <w:right w:val="nil"/>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Cs/>
                <w:lang w:eastAsia="it-IT"/>
              </w:rPr>
            </w:pPr>
            <w:r w:rsidRPr="00C35FD6">
              <w:rPr>
                <w:rFonts w:asciiTheme="majorHAnsi" w:eastAsia="Times New Roman" w:hAnsiTheme="majorHAnsi" w:cstheme="majorHAnsi"/>
                <w:bCs/>
                <w:lang w:eastAsia="it-IT"/>
              </w:rPr>
              <w:t>Con disabilità</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Cs/>
                <w:lang w:eastAsia="it-IT"/>
              </w:rPr>
            </w:pPr>
            <w:r w:rsidRPr="00C35FD6">
              <w:rPr>
                <w:rFonts w:asciiTheme="majorHAnsi" w:eastAsia="Times New Roman" w:hAnsiTheme="majorHAnsi" w:cstheme="majorHAnsi"/>
                <w:bCs/>
                <w:lang w:eastAsia="it-IT"/>
              </w:rPr>
              <w:t>3.896</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Cs/>
                <w:lang w:eastAsia="it-IT"/>
              </w:rPr>
            </w:pPr>
            <w:r w:rsidRPr="00C35FD6">
              <w:rPr>
                <w:rFonts w:asciiTheme="majorHAnsi" w:eastAsia="Times New Roman" w:hAnsiTheme="majorHAnsi" w:cstheme="majorHAnsi"/>
                <w:bCs/>
                <w:lang w:eastAsia="it-IT"/>
              </w:rPr>
              <w:t xml:space="preserve">        1,2 </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Cs/>
                <w:lang w:eastAsia="it-IT"/>
              </w:rPr>
            </w:pPr>
            <w:r w:rsidRPr="00C35FD6">
              <w:rPr>
                <w:rFonts w:asciiTheme="majorHAnsi" w:eastAsia="Times New Roman" w:hAnsiTheme="majorHAnsi" w:cstheme="majorHAnsi"/>
                <w:bCs/>
                <w:lang w:eastAsia="it-IT"/>
              </w:rPr>
              <w:t>2.473</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Cs/>
                <w:lang w:eastAsia="it-IT"/>
              </w:rPr>
            </w:pPr>
            <w:r w:rsidRPr="00C35FD6">
              <w:rPr>
                <w:rFonts w:asciiTheme="majorHAnsi" w:eastAsia="Times New Roman" w:hAnsiTheme="majorHAnsi" w:cstheme="majorHAnsi"/>
                <w:bCs/>
                <w:lang w:eastAsia="it-IT"/>
              </w:rPr>
              <w:t xml:space="preserve">     1,8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Cs/>
                <w:lang w:eastAsia="it-IT"/>
              </w:rPr>
            </w:pPr>
            <w:r w:rsidRPr="00C35FD6">
              <w:rPr>
                <w:rFonts w:asciiTheme="majorHAnsi" w:eastAsia="Times New Roman" w:hAnsiTheme="majorHAnsi" w:cstheme="majorHAnsi"/>
                <w:bCs/>
                <w:lang w:eastAsia="it-IT"/>
              </w:rPr>
              <w:t>1371</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Cs/>
                <w:lang w:eastAsia="it-IT"/>
              </w:rPr>
            </w:pPr>
            <w:r w:rsidRPr="00C35FD6">
              <w:rPr>
                <w:rFonts w:asciiTheme="majorHAnsi" w:eastAsia="Times New Roman" w:hAnsiTheme="majorHAnsi" w:cstheme="majorHAnsi"/>
                <w:bCs/>
                <w:lang w:eastAsia="it-IT"/>
              </w:rPr>
              <w:t xml:space="preserve">      2,3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Cs/>
                <w:lang w:eastAsia="it-IT"/>
              </w:rPr>
            </w:pPr>
            <w:r w:rsidRPr="00C35FD6">
              <w:rPr>
                <w:rFonts w:asciiTheme="majorHAnsi" w:eastAsia="Times New Roman" w:hAnsiTheme="majorHAnsi" w:cstheme="majorHAnsi"/>
                <w:bCs/>
                <w:lang w:eastAsia="it-IT"/>
              </w:rPr>
              <w:t>601</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Cs/>
                <w:lang w:eastAsia="it-IT"/>
              </w:rPr>
            </w:pPr>
            <w:r w:rsidRPr="00C35FD6">
              <w:rPr>
                <w:rFonts w:asciiTheme="majorHAnsi" w:eastAsia="Times New Roman" w:hAnsiTheme="majorHAnsi" w:cstheme="majorHAnsi"/>
                <w:bCs/>
                <w:lang w:eastAsia="it-IT"/>
              </w:rPr>
              <w:t xml:space="preserve">       1,3 </w:t>
            </w:r>
          </w:p>
        </w:tc>
        <w:tc>
          <w:tcPr>
            <w:tcW w:w="698"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lang w:eastAsia="it-IT"/>
              </w:rPr>
            </w:pPr>
            <w:r w:rsidRPr="00C35FD6">
              <w:rPr>
                <w:rFonts w:asciiTheme="majorHAnsi" w:eastAsia="Times New Roman" w:hAnsiTheme="majorHAnsi" w:cstheme="majorHAnsi"/>
                <w:b/>
                <w:bCs/>
                <w:lang w:eastAsia="it-IT"/>
              </w:rPr>
              <w:t>8.341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lang w:eastAsia="it-IT"/>
              </w:rPr>
            </w:pPr>
            <w:r w:rsidRPr="00C35FD6">
              <w:rPr>
                <w:rFonts w:asciiTheme="majorHAnsi" w:eastAsia="Times New Roman" w:hAnsiTheme="majorHAnsi" w:cstheme="majorHAnsi"/>
                <w:b/>
                <w:bCs/>
                <w:lang w:eastAsia="it-IT"/>
              </w:rPr>
              <w:t xml:space="preserve">       1,5 </w:t>
            </w:r>
          </w:p>
        </w:tc>
      </w:tr>
      <w:tr w:rsidR="003013F0" w:rsidRPr="00C35FD6" w:rsidTr="004364CE">
        <w:trPr>
          <w:trHeight w:val="703"/>
        </w:trPr>
        <w:tc>
          <w:tcPr>
            <w:tcW w:w="2252" w:type="dxa"/>
            <w:tcBorders>
              <w:top w:val="nil"/>
              <w:left w:val="single" w:sz="4" w:space="0" w:color="auto"/>
              <w:bottom w:val="double" w:sz="6" w:space="0" w:color="auto"/>
              <w:right w:val="nil"/>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lang w:eastAsia="it-IT"/>
              </w:rPr>
            </w:pPr>
            <w:r w:rsidRPr="00C35FD6">
              <w:rPr>
                <w:rFonts w:asciiTheme="majorHAnsi" w:eastAsia="Times New Roman" w:hAnsiTheme="majorHAnsi" w:cstheme="majorHAnsi"/>
                <w:lang w:eastAsia="it-IT"/>
              </w:rPr>
              <w:t>Con cittadinanza non italiana</w:t>
            </w:r>
          </w:p>
        </w:tc>
        <w:tc>
          <w:tcPr>
            <w:tcW w:w="730" w:type="dxa"/>
            <w:tcBorders>
              <w:top w:val="nil"/>
              <w:left w:val="single" w:sz="4" w:space="0" w:color="auto"/>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lang w:eastAsia="it-IT"/>
              </w:rPr>
            </w:pPr>
            <w:r w:rsidRPr="00C35FD6">
              <w:rPr>
                <w:rFonts w:asciiTheme="majorHAnsi" w:eastAsia="Times New Roman" w:hAnsiTheme="majorHAnsi" w:cstheme="majorHAnsi"/>
                <w:lang w:eastAsia="it-IT"/>
              </w:rPr>
              <w:t>24.716</w:t>
            </w:r>
          </w:p>
        </w:tc>
        <w:tc>
          <w:tcPr>
            <w:tcW w:w="804"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lang w:eastAsia="it-IT"/>
              </w:rPr>
            </w:pPr>
            <w:r w:rsidRPr="00C35FD6">
              <w:rPr>
                <w:rFonts w:asciiTheme="majorHAnsi" w:eastAsia="Times New Roman" w:hAnsiTheme="majorHAnsi" w:cstheme="majorHAnsi"/>
                <w:lang w:eastAsia="it-IT"/>
              </w:rPr>
              <w:t xml:space="preserve">        7,5 </w:t>
            </w:r>
          </w:p>
        </w:tc>
        <w:tc>
          <w:tcPr>
            <w:tcW w:w="681"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lang w:eastAsia="it-IT"/>
              </w:rPr>
            </w:pPr>
            <w:r w:rsidRPr="00C35FD6">
              <w:rPr>
                <w:rFonts w:asciiTheme="majorHAnsi" w:eastAsia="Times New Roman" w:hAnsiTheme="majorHAnsi" w:cstheme="majorHAnsi"/>
                <w:lang w:eastAsia="it-IT"/>
              </w:rPr>
              <w:t>3.677</w:t>
            </w:r>
          </w:p>
        </w:tc>
        <w:tc>
          <w:tcPr>
            <w:tcW w:w="712"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lang w:eastAsia="it-IT"/>
              </w:rPr>
            </w:pPr>
            <w:r w:rsidRPr="00C35FD6">
              <w:rPr>
                <w:rFonts w:asciiTheme="majorHAnsi" w:eastAsia="Times New Roman" w:hAnsiTheme="majorHAnsi" w:cstheme="majorHAnsi"/>
                <w:lang w:eastAsia="it-IT"/>
              </w:rPr>
              <w:t xml:space="preserve">     2,7 </w:t>
            </w:r>
          </w:p>
        </w:tc>
        <w:tc>
          <w:tcPr>
            <w:tcW w:w="506"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lang w:eastAsia="it-IT"/>
              </w:rPr>
            </w:pPr>
            <w:r w:rsidRPr="00C35FD6">
              <w:rPr>
                <w:rFonts w:asciiTheme="majorHAnsi" w:eastAsia="Times New Roman" w:hAnsiTheme="majorHAnsi" w:cstheme="majorHAnsi"/>
                <w:lang w:eastAsia="it-IT"/>
              </w:rPr>
              <w:t>1207</w:t>
            </w:r>
          </w:p>
        </w:tc>
        <w:tc>
          <w:tcPr>
            <w:tcW w:w="647"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lang w:eastAsia="it-IT"/>
              </w:rPr>
            </w:pPr>
            <w:r w:rsidRPr="00C35FD6">
              <w:rPr>
                <w:rFonts w:asciiTheme="majorHAnsi" w:eastAsia="Times New Roman" w:hAnsiTheme="majorHAnsi" w:cstheme="majorHAnsi"/>
                <w:lang w:eastAsia="it-IT"/>
              </w:rPr>
              <w:t xml:space="preserve">      2,1 </w:t>
            </w:r>
          </w:p>
        </w:tc>
        <w:tc>
          <w:tcPr>
            <w:tcW w:w="585"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lang w:eastAsia="it-IT"/>
              </w:rPr>
            </w:pPr>
            <w:r w:rsidRPr="00C35FD6">
              <w:rPr>
                <w:rFonts w:asciiTheme="majorHAnsi" w:eastAsia="Times New Roman" w:hAnsiTheme="majorHAnsi" w:cstheme="majorHAnsi"/>
                <w:lang w:eastAsia="it-IT"/>
              </w:rPr>
              <w:t>1.186</w:t>
            </w:r>
          </w:p>
        </w:tc>
        <w:tc>
          <w:tcPr>
            <w:tcW w:w="724"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lang w:eastAsia="it-IT"/>
              </w:rPr>
            </w:pPr>
            <w:r w:rsidRPr="00C35FD6">
              <w:rPr>
                <w:rFonts w:asciiTheme="majorHAnsi" w:eastAsia="Times New Roman" w:hAnsiTheme="majorHAnsi" w:cstheme="majorHAnsi"/>
                <w:lang w:eastAsia="it-IT"/>
              </w:rPr>
              <w:t xml:space="preserve">       2,5 </w:t>
            </w:r>
          </w:p>
        </w:tc>
        <w:tc>
          <w:tcPr>
            <w:tcW w:w="698"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bCs/>
                <w:lang w:eastAsia="it-IT"/>
              </w:rPr>
            </w:pPr>
            <w:r w:rsidRPr="00C35FD6">
              <w:rPr>
                <w:rFonts w:asciiTheme="majorHAnsi" w:eastAsia="Times New Roman" w:hAnsiTheme="majorHAnsi" w:cstheme="majorHAnsi"/>
                <w:b/>
                <w:bCs/>
                <w:lang w:eastAsia="it-IT"/>
              </w:rPr>
              <w:t>30.786</w:t>
            </w:r>
          </w:p>
        </w:tc>
        <w:tc>
          <w:tcPr>
            <w:tcW w:w="709" w:type="dxa"/>
            <w:tcBorders>
              <w:top w:val="nil"/>
              <w:left w:val="nil"/>
              <w:bottom w:val="double" w:sz="6" w:space="0" w:color="auto"/>
              <w:right w:val="single" w:sz="4" w:space="0" w:color="auto"/>
            </w:tcBorders>
            <w:shd w:val="clear" w:color="auto" w:fill="auto"/>
            <w:noWrap/>
            <w:vAlign w:val="bottom"/>
            <w:hideMark/>
          </w:tcPr>
          <w:p w:rsidR="003013F0" w:rsidRPr="00C35FD6" w:rsidRDefault="003013F0" w:rsidP="007F184D">
            <w:pPr>
              <w:jc w:val="center"/>
              <w:rPr>
                <w:rFonts w:asciiTheme="majorHAnsi" w:eastAsia="Times New Roman" w:hAnsiTheme="majorHAnsi" w:cstheme="majorHAnsi"/>
                <w:b/>
                <w:lang w:eastAsia="it-IT"/>
              </w:rPr>
            </w:pPr>
            <w:r w:rsidRPr="00C35FD6">
              <w:rPr>
                <w:rFonts w:asciiTheme="majorHAnsi" w:eastAsia="Times New Roman" w:hAnsiTheme="majorHAnsi" w:cstheme="majorHAnsi"/>
                <w:b/>
                <w:lang w:eastAsia="it-IT"/>
              </w:rPr>
              <w:t xml:space="preserve">       5,4 </w:t>
            </w:r>
          </w:p>
        </w:tc>
      </w:tr>
    </w:tbl>
    <w:p w:rsidR="003013F0" w:rsidRPr="00C35FD6" w:rsidRDefault="00BC36DF" w:rsidP="003013F0">
      <w:pPr>
        <w:rPr>
          <w:rFonts w:asciiTheme="majorHAnsi" w:hAnsiTheme="majorHAnsi" w:cstheme="majorHAnsi"/>
        </w:rPr>
      </w:pPr>
      <w:r w:rsidRPr="00C35FD6">
        <w:rPr>
          <w:rFonts w:asciiTheme="majorHAnsi" w:hAnsiTheme="majorHAnsi" w:cstheme="majorHAnsi"/>
        </w:rPr>
        <w:fldChar w:fldCharType="end"/>
      </w:r>
      <w:r w:rsidR="003013F0" w:rsidRPr="00C35FD6">
        <w:rPr>
          <w:rFonts w:asciiTheme="majorHAnsi" w:hAnsiTheme="majorHAnsi" w:cstheme="majorHAnsi"/>
        </w:rPr>
        <w:t xml:space="preserve"> Fonte: elaborazione CSSC sui dati Miur 2019.</w:t>
      </w:r>
    </w:p>
    <w:p w:rsidR="00ED3E40" w:rsidRPr="00C35FD6" w:rsidRDefault="00ED3E40" w:rsidP="00E77664">
      <w:pPr>
        <w:jc w:val="both"/>
        <w:rPr>
          <w:rFonts w:asciiTheme="majorHAnsi" w:eastAsia="Times New Roman" w:hAnsiTheme="majorHAnsi" w:cstheme="majorHAnsi"/>
          <w:color w:val="2A2A2A"/>
          <w:shd w:val="clear" w:color="auto" w:fill="FFFFFF"/>
          <w:lang w:eastAsia="it-IT"/>
        </w:rPr>
      </w:pPr>
    </w:p>
    <w:sectPr w:rsidR="00ED3E40" w:rsidRPr="00C35FD6" w:rsidSect="004364CE">
      <w:footerReference w:type="default" r:id="rId12"/>
      <w:pgSz w:w="11900" w:h="16840"/>
      <w:pgMar w:top="709" w:right="1134" w:bottom="1134" w:left="1134"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2B2" w:rsidRDefault="009B52B2" w:rsidP="00094BE8">
      <w:r>
        <w:separator/>
      </w:r>
    </w:p>
  </w:endnote>
  <w:endnote w:type="continuationSeparator" w:id="0">
    <w:p w:rsidR="009B52B2" w:rsidRDefault="009B52B2" w:rsidP="00094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725675"/>
      <w:docPartObj>
        <w:docPartGallery w:val="Page Numbers (Bottom of Page)"/>
        <w:docPartUnique/>
      </w:docPartObj>
    </w:sdtPr>
    <w:sdtContent>
      <w:p w:rsidR="00094BE8" w:rsidRDefault="00BC36DF">
        <w:pPr>
          <w:pStyle w:val="Pidipagina"/>
          <w:jc w:val="right"/>
        </w:pPr>
        <w:r>
          <w:fldChar w:fldCharType="begin"/>
        </w:r>
        <w:r w:rsidR="00094BE8">
          <w:instrText>PAGE   \* MERGEFORMAT</w:instrText>
        </w:r>
        <w:r>
          <w:fldChar w:fldCharType="separate"/>
        </w:r>
        <w:r w:rsidR="002F30C3">
          <w:rPr>
            <w:noProof/>
          </w:rPr>
          <w:t>1</w:t>
        </w:r>
        <w:r>
          <w:fldChar w:fldCharType="end"/>
        </w:r>
      </w:p>
    </w:sdtContent>
  </w:sdt>
  <w:p w:rsidR="00094BE8" w:rsidRDefault="00094BE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2B2" w:rsidRDefault="009B52B2" w:rsidP="00094BE8">
      <w:r>
        <w:separator/>
      </w:r>
    </w:p>
  </w:footnote>
  <w:footnote w:type="continuationSeparator" w:id="0">
    <w:p w:rsidR="009B52B2" w:rsidRDefault="009B52B2" w:rsidP="00094B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7A4A"/>
    <w:multiLevelType w:val="hybridMultilevel"/>
    <w:tmpl w:val="86F85E12"/>
    <w:lvl w:ilvl="0" w:tplc="04100017">
      <w:start w:val="1"/>
      <w:numFmt w:val="low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0696A70"/>
    <w:multiLevelType w:val="hybridMultilevel"/>
    <w:tmpl w:val="ACE6A2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C95DDD"/>
    <w:rsid w:val="00047996"/>
    <w:rsid w:val="00094BE8"/>
    <w:rsid w:val="000E1FA5"/>
    <w:rsid w:val="000F0450"/>
    <w:rsid w:val="001C0134"/>
    <w:rsid w:val="001D2497"/>
    <w:rsid w:val="002633F0"/>
    <w:rsid w:val="002751D3"/>
    <w:rsid w:val="002773BD"/>
    <w:rsid w:val="00281DDB"/>
    <w:rsid w:val="002F30C3"/>
    <w:rsid w:val="003013F0"/>
    <w:rsid w:val="004364CE"/>
    <w:rsid w:val="005220E2"/>
    <w:rsid w:val="00583014"/>
    <w:rsid w:val="005D2CF3"/>
    <w:rsid w:val="005E4E16"/>
    <w:rsid w:val="005E57BE"/>
    <w:rsid w:val="006D3D9A"/>
    <w:rsid w:val="0073277D"/>
    <w:rsid w:val="007A2DD1"/>
    <w:rsid w:val="00817F9A"/>
    <w:rsid w:val="00850F0C"/>
    <w:rsid w:val="00864C45"/>
    <w:rsid w:val="008F348F"/>
    <w:rsid w:val="00920708"/>
    <w:rsid w:val="009B52B2"/>
    <w:rsid w:val="00A01B1B"/>
    <w:rsid w:val="00A36DA8"/>
    <w:rsid w:val="00AF1BD8"/>
    <w:rsid w:val="00B00FEF"/>
    <w:rsid w:val="00B56B88"/>
    <w:rsid w:val="00B65905"/>
    <w:rsid w:val="00BC36DF"/>
    <w:rsid w:val="00C060B5"/>
    <w:rsid w:val="00C135A0"/>
    <w:rsid w:val="00C35FD6"/>
    <w:rsid w:val="00C55E19"/>
    <w:rsid w:val="00C946C2"/>
    <w:rsid w:val="00C95DDD"/>
    <w:rsid w:val="00D80AAC"/>
    <w:rsid w:val="00DA1F22"/>
    <w:rsid w:val="00DA5516"/>
    <w:rsid w:val="00E07469"/>
    <w:rsid w:val="00E46FC2"/>
    <w:rsid w:val="00E77664"/>
    <w:rsid w:val="00E924AA"/>
    <w:rsid w:val="00EA3C7B"/>
    <w:rsid w:val="00ED3E40"/>
    <w:rsid w:val="00ED6EB9"/>
    <w:rsid w:val="00EF1B79"/>
    <w:rsid w:val="00F4374F"/>
    <w:rsid w:val="00F46160"/>
    <w:rsid w:val="00F830F5"/>
    <w:rsid w:val="00FB57CA"/>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0708"/>
    <w:rPr>
      <w:sz w:val="24"/>
      <w:szCs w:val="24"/>
    </w:rPr>
  </w:style>
  <w:style w:type="paragraph" w:styleId="Titolo1">
    <w:name w:val="heading 1"/>
    <w:basedOn w:val="Normale"/>
    <w:link w:val="Titolo1Carattere"/>
    <w:uiPriority w:val="9"/>
    <w:qFormat/>
    <w:rsid w:val="00C95DDD"/>
    <w:pPr>
      <w:spacing w:before="100" w:beforeAutospacing="1" w:after="100" w:afterAutospacing="1"/>
      <w:outlineLvl w:val="0"/>
    </w:pPr>
    <w:rPr>
      <w:rFonts w:ascii="Times" w:hAnsi="Times"/>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5DDD"/>
    <w:rPr>
      <w:rFonts w:ascii="Times" w:hAnsi="Times"/>
      <w:b/>
      <w:bCs/>
      <w:kern w:val="36"/>
      <w:sz w:val="48"/>
      <w:szCs w:val="48"/>
      <w:lang w:eastAsia="it-IT"/>
    </w:rPr>
  </w:style>
  <w:style w:type="paragraph" w:styleId="NormaleWeb">
    <w:name w:val="Normal (Web)"/>
    <w:basedOn w:val="Normale"/>
    <w:uiPriority w:val="99"/>
    <w:unhideWhenUsed/>
    <w:rsid w:val="005E57BE"/>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E77664"/>
    <w:rPr>
      <w:b/>
      <w:bCs/>
    </w:rPr>
  </w:style>
  <w:style w:type="character" w:customStyle="1" w:styleId="apple-converted-space">
    <w:name w:val="apple-converted-space"/>
    <w:basedOn w:val="Carpredefinitoparagrafo"/>
    <w:rsid w:val="00E77664"/>
  </w:style>
  <w:style w:type="paragraph" w:styleId="Paragrafoelenco">
    <w:name w:val="List Paragraph"/>
    <w:basedOn w:val="Normale"/>
    <w:uiPriority w:val="34"/>
    <w:qFormat/>
    <w:rsid w:val="00ED3E40"/>
    <w:pPr>
      <w:ind w:left="720"/>
      <w:contextualSpacing/>
    </w:pPr>
  </w:style>
  <w:style w:type="paragraph" w:styleId="Intestazione">
    <w:name w:val="header"/>
    <w:basedOn w:val="Normale"/>
    <w:link w:val="IntestazioneCarattere"/>
    <w:uiPriority w:val="99"/>
    <w:unhideWhenUsed/>
    <w:rsid w:val="00094BE8"/>
    <w:pPr>
      <w:tabs>
        <w:tab w:val="center" w:pos="4819"/>
        <w:tab w:val="right" w:pos="9638"/>
      </w:tabs>
    </w:pPr>
  </w:style>
  <w:style w:type="character" w:customStyle="1" w:styleId="IntestazioneCarattere">
    <w:name w:val="Intestazione Carattere"/>
    <w:basedOn w:val="Carpredefinitoparagrafo"/>
    <w:link w:val="Intestazione"/>
    <w:uiPriority w:val="99"/>
    <w:rsid w:val="00094BE8"/>
    <w:rPr>
      <w:sz w:val="24"/>
      <w:szCs w:val="24"/>
    </w:rPr>
  </w:style>
  <w:style w:type="paragraph" w:styleId="Pidipagina">
    <w:name w:val="footer"/>
    <w:basedOn w:val="Normale"/>
    <w:link w:val="PidipaginaCarattere"/>
    <w:uiPriority w:val="99"/>
    <w:unhideWhenUsed/>
    <w:rsid w:val="00094BE8"/>
    <w:pPr>
      <w:tabs>
        <w:tab w:val="center" w:pos="4819"/>
        <w:tab w:val="right" w:pos="9638"/>
      </w:tabs>
    </w:pPr>
  </w:style>
  <w:style w:type="character" w:customStyle="1" w:styleId="PidipaginaCarattere">
    <w:name w:val="Piè di pagina Carattere"/>
    <w:basedOn w:val="Carpredefinitoparagrafo"/>
    <w:link w:val="Pidipagina"/>
    <w:uiPriority w:val="99"/>
    <w:rsid w:val="00094BE8"/>
    <w:rPr>
      <w:sz w:val="24"/>
      <w:szCs w:val="24"/>
    </w:rPr>
  </w:style>
  <w:style w:type="paragraph" w:styleId="Testofumetto">
    <w:name w:val="Balloon Text"/>
    <w:basedOn w:val="Normale"/>
    <w:link w:val="TestofumettoCarattere"/>
    <w:uiPriority w:val="99"/>
    <w:semiHidden/>
    <w:unhideWhenUsed/>
    <w:rsid w:val="000F045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045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6734018">
      <w:bodyDiv w:val="1"/>
      <w:marLeft w:val="0"/>
      <w:marRight w:val="0"/>
      <w:marTop w:val="0"/>
      <w:marBottom w:val="0"/>
      <w:divBdr>
        <w:top w:val="none" w:sz="0" w:space="0" w:color="auto"/>
        <w:left w:val="none" w:sz="0" w:space="0" w:color="auto"/>
        <w:bottom w:val="none" w:sz="0" w:space="0" w:color="auto"/>
        <w:right w:val="none" w:sz="0" w:space="0" w:color="auto"/>
      </w:divBdr>
    </w:div>
    <w:div w:id="102455309">
      <w:bodyDiv w:val="1"/>
      <w:marLeft w:val="0"/>
      <w:marRight w:val="0"/>
      <w:marTop w:val="0"/>
      <w:marBottom w:val="0"/>
      <w:divBdr>
        <w:top w:val="none" w:sz="0" w:space="0" w:color="auto"/>
        <w:left w:val="none" w:sz="0" w:space="0" w:color="auto"/>
        <w:bottom w:val="none" w:sz="0" w:space="0" w:color="auto"/>
        <w:right w:val="none" w:sz="0" w:space="0" w:color="auto"/>
      </w:divBdr>
    </w:div>
    <w:div w:id="829171454">
      <w:bodyDiv w:val="1"/>
      <w:marLeft w:val="0"/>
      <w:marRight w:val="0"/>
      <w:marTop w:val="0"/>
      <w:marBottom w:val="0"/>
      <w:divBdr>
        <w:top w:val="none" w:sz="0" w:space="0" w:color="auto"/>
        <w:left w:val="none" w:sz="0" w:space="0" w:color="auto"/>
        <w:bottom w:val="none" w:sz="0" w:space="0" w:color="auto"/>
        <w:right w:val="none" w:sz="0" w:space="0" w:color="auto"/>
      </w:divBdr>
    </w:div>
    <w:div w:id="855461604">
      <w:bodyDiv w:val="1"/>
      <w:marLeft w:val="0"/>
      <w:marRight w:val="0"/>
      <w:marTop w:val="0"/>
      <w:marBottom w:val="0"/>
      <w:divBdr>
        <w:top w:val="none" w:sz="0" w:space="0" w:color="auto"/>
        <w:left w:val="none" w:sz="0" w:space="0" w:color="auto"/>
        <w:bottom w:val="none" w:sz="0" w:space="0" w:color="auto"/>
        <w:right w:val="none" w:sz="0" w:space="0" w:color="auto"/>
      </w:divBdr>
    </w:div>
    <w:div w:id="1116826966">
      <w:bodyDiv w:val="1"/>
      <w:marLeft w:val="0"/>
      <w:marRight w:val="0"/>
      <w:marTop w:val="0"/>
      <w:marBottom w:val="0"/>
      <w:divBdr>
        <w:top w:val="none" w:sz="0" w:space="0" w:color="auto"/>
        <w:left w:val="none" w:sz="0" w:space="0" w:color="auto"/>
        <w:bottom w:val="none" w:sz="0" w:space="0" w:color="auto"/>
        <w:right w:val="none" w:sz="0" w:space="0" w:color="auto"/>
      </w:divBdr>
    </w:div>
    <w:div w:id="1188715755">
      <w:bodyDiv w:val="1"/>
      <w:marLeft w:val="0"/>
      <w:marRight w:val="0"/>
      <w:marTop w:val="0"/>
      <w:marBottom w:val="0"/>
      <w:divBdr>
        <w:top w:val="none" w:sz="0" w:space="0" w:color="auto"/>
        <w:left w:val="none" w:sz="0" w:space="0" w:color="auto"/>
        <w:bottom w:val="none" w:sz="0" w:space="0" w:color="auto"/>
        <w:right w:val="none" w:sz="0" w:space="0" w:color="auto"/>
      </w:divBdr>
    </w:div>
    <w:div w:id="1297636316">
      <w:bodyDiv w:val="1"/>
      <w:marLeft w:val="0"/>
      <w:marRight w:val="0"/>
      <w:marTop w:val="0"/>
      <w:marBottom w:val="0"/>
      <w:divBdr>
        <w:top w:val="none" w:sz="0" w:space="0" w:color="auto"/>
        <w:left w:val="none" w:sz="0" w:space="0" w:color="auto"/>
        <w:bottom w:val="none" w:sz="0" w:space="0" w:color="auto"/>
        <w:right w:val="none" w:sz="0" w:space="0" w:color="auto"/>
      </w:divBdr>
    </w:div>
    <w:div w:id="1324970447">
      <w:bodyDiv w:val="1"/>
      <w:marLeft w:val="0"/>
      <w:marRight w:val="0"/>
      <w:marTop w:val="0"/>
      <w:marBottom w:val="0"/>
      <w:divBdr>
        <w:top w:val="none" w:sz="0" w:space="0" w:color="auto"/>
        <w:left w:val="none" w:sz="0" w:space="0" w:color="auto"/>
        <w:bottom w:val="none" w:sz="0" w:space="0" w:color="auto"/>
        <w:right w:val="none" w:sz="0" w:space="0" w:color="auto"/>
      </w:divBdr>
    </w:div>
    <w:div w:id="1536231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75CA-1B62-44FE-8F47-8570B4FB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1827</Words>
  <Characters>10418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Giorgio</dc:creator>
  <cp:lastModifiedBy>Windows User</cp:lastModifiedBy>
  <cp:revision>2</cp:revision>
  <cp:lastPrinted>2019-11-13T09:14:00Z</cp:lastPrinted>
  <dcterms:created xsi:type="dcterms:W3CDTF">2019-11-13T13:29:00Z</dcterms:created>
  <dcterms:modified xsi:type="dcterms:W3CDTF">2019-11-13T13:29:00Z</dcterms:modified>
</cp:coreProperties>
</file>